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C2C1" w14:textId="24A50ADA" w:rsidR="00B81B8F" w:rsidRDefault="00FD2012" w:rsidP="00F633C2">
      <w:pPr>
        <w:spacing w:before="157" w:after="157" w:line="270" w:lineRule="auto"/>
        <w:jc w:val="center"/>
      </w:pPr>
      <w:bookmarkStart w:id="0" w:name="bm_12_анализ_удовлетворённости_уч_667386"/>
      <w:r>
        <w:rPr>
          <w:rFonts w:eastAsia="Georgia" w:hAnsi="Georgia" w:cs="Georgia"/>
          <w:b/>
          <w:color w:val="000000"/>
          <w:sz w:val="39"/>
        </w:rPr>
        <w:t>18</w:t>
      </w:r>
      <w:r w:rsidR="00F633C2">
        <w:rPr>
          <w:rFonts w:eastAsia="Georgia" w:hAnsi="Georgia" w:cs="Georgia"/>
          <w:b/>
          <w:color w:val="000000"/>
          <w:sz w:val="39"/>
        </w:rPr>
        <w:t xml:space="preserve">. Анализ удовлетворённости учебным процессом среди студентов </w:t>
      </w:r>
      <w:r>
        <w:rPr>
          <w:rFonts w:eastAsia="Georgia" w:hAnsi="Georgia" w:cs="Georgia"/>
          <w:b/>
          <w:color w:val="000000"/>
          <w:sz w:val="39"/>
        </w:rPr>
        <w:t>магистратуры</w:t>
      </w:r>
      <w:r w:rsidR="00F633C2">
        <w:rPr>
          <w:rFonts w:eastAsia="Georgia" w:hAnsi="Georgia" w:cs="Georgia"/>
          <w:b/>
          <w:color w:val="000000"/>
          <w:sz w:val="39"/>
        </w:rPr>
        <w:t xml:space="preserve"> (</w:t>
      </w:r>
      <w:r>
        <w:rPr>
          <w:rFonts w:eastAsia="Georgia" w:hAnsi="Georgia" w:cs="Georgia"/>
          <w:b/>
          <w:color w:val="000000"/>
          <w:sz w:val="39"/>
        </w:rPr>
        <w:t>ЗА</w:t>
      </w:r>
      <w:r w:rsidR="00F633C2">
        <w:rPr>
          <w:rFonts w:eastAsia="Georgia" w:hAnsi="Georgia" w:cs="Georgia"/>
          <w:b/>
          <w:color w:val="000000"/>
          <w:sz w:val="39"/>
        </w:rPr>
        <w:t xml:space="preserve">ОЧНОЕ ОТДЕЛЕНИЕ) направления подготовки </w:t>
      </w:r>
      <w:bookmarkEnd w:id="0"/>
      <w:r>
        <w:rPr>
          <w:rFonts w:eastAsia="Georgia" w:hAnsi="Georgia" w:cs="Georgia"/>
          <w:b/>
          <w:color w:val="000000"/>
          <w:sz w:val="39"/>
        </w:rPr>
        <w:t>МЕНЕДЖМЕНТ</w:t>
      </w:r>
    </w:p>
    <w:p w14:paraId="541963EB" w14:textId="77777777" w:rsidR="00B81B8F" w:rsidRDefault="00F633C2" w:rsidP="00F633C2">
      <w:pPr>
        <w:spacing w:after="210" w:line="360" w:lineRule="auto"/>
        <w:jc w:val="center"/>
      </w:pPr>
      <w:r>
        <w:rPr>
          <w:rFonts w:eastAsia="Georgia" w:hAnsi="Georgia" w:cs="Georgia"/>
          <w:color w:val="000000"/>
        </w:rPr>
        <w:t>АНОО ВО СИБИТ</w:t>
      </w:r>
    </w:p>
    <w:p w14:paraId="6D1B074F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Georgia" w:hAnsi="Georgia" w:cs="Georgia"/>
          <w:b/>
          <w:color w:val="000000"/>
        </w:rPr>
        <w:t xml:space="preserve">ИССЛЕДОВАНИЕ КАЧЕСТВА УСЛОВИЙ ОСУЩЕСТВЛЕНИЯ ОБРАЗОВАТЕЛЬНОЙ </w:t>
      </w:r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ДЕЯТЕЛЬНОСТИ СРЕДИ ОБУЧАЮЩИХСЯ</w:t>
      </w:r>
    </w:p>
    <w:p w14:paraId="40F452D7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2026 год</w:t>
      </w:r>
    </w:p>
    <w:p w14:paraId="781AE6BB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введени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Введение</w:t>
      </w:r>
      <w:bookmarkEnd w:id="1"/>
    </w:p>
    <w:p w14:paraId="3B1291F7" w14:textId="72AE7E6F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Настоящий отчёт по самообследованию подготовлен на основе материалов исследования качества условий осуществления образовательной деятельности среди обучающихся АНОО ВО СИБИТ. В основу содержания положена структура и основные аналитические разделы базового отчёта по удовлетворённости студентов.</w:t>
      </w:r>
    </w:p>
    <w:p w14:paraId="52767849" w14:textId="414B6A6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Документ ориентирован на оценку удовлетворённости учебным процессом по соответствующему направлению подготовки и форме обучения, а также включает сведения о контингенте магистратуры, представленные в отдельной таблице.</w:t>
      </w:r>
    </w:p>
    <w:p w14:paraId="25F17445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сведения_по_магистратур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Сведения по магистратуре</w:t>
      </w:r>
      <w:bookmarkEnd w:id="2"/>
    </w:p>
    <w:p w14:paraId="3B06362F" w14:textId="2B600BA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Ниже приведены данные о контингенте магистратуры по формам обучения и направлениям подготовки.</w:t>
      </w:r>
    </w:p>
    <w:tbl>
      <w:tblPr>
        <w:tblStyle w:val="NormalGrid"/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722"/>
        <w:gridCol w:w="3509"/>
        <w:gridCol w:w="2355"/>
        <w:gridCol w:w="1918"/>
      </w:tblGrid>
      <w:tr w:rsidR="00B81B8F" w:rsidRPr="00F633C2" w14:paraId="40C2320A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98EF9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lastRenderedPageBreak/>
              <w:t>Форма обучения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EE7D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Направление подготовки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A1B113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Общее количество студентов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012EAB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Из них в академ. отпуске</w:t>
            </w:r>
          </w:p>
        </w:tc>
      </w:tr>
      <w:tr w:rsidR="00B81B8F" w:rsidRPr="00F633C2" w14:paraId="28D69076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067AC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119A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120B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030BD2F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8D61175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0D7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FCBE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3D781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E33EB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031A7007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6889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69FEF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9B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8E3B81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81B8F" w:rsidRPr="00F633C2" w14:paraId="2DD488E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4860F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C7B7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DA24C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3C1D35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244772F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56594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66C02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E736E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032B49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C060FA4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12C46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5664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30A6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E6AA34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81B8F" w:rsidRPr="00F633C2" w14:paraId="04B8A701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92D94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726D4" w14:textId="77777777" w:rsidR="00B81B8F" w:rsidRPr="00F633C2" w:rsidRDefault="00B81B8F" w:rsidP="00F63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97445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63E726D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</w:tbl>
    <w:p w14:paraId="0C7FAA21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1. Общие сведения об опросе</w:t>
      </w:r>
    </w:p>
    <w:p w14:paraId="18AE5961" w14:textId="52CB6503" w:rsidR="00F633C2" w:rsidRPr="00516AB9" w:rsidRDefault="00F633C2" w:rsidP="00225D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Опрос проводился среди обучающихся АНОО ВО СИБИТ в целях оценки качества условий осуществления образовательной деятельности. В анкетировании приняли участие </w:t>
      </w:r>
      <w:r w:rsidR="00DF02CA">
        <w:rPr>
          <w:rFonts w:ascii="Times New Roman" w:hAnsi="Times New Roman" w:cs="Times New Roman"/>
          <w:color w:val="28251D"/>
          <w:sz w:val="28"/>
          <w:szCs w:val="28"/>
        </w:rPr>
        <w:t>9</w:t>
      </w:r>
      <w:r>
        <w:rPr>
          <w:rFonts w:ascii="Times New Roman" w:hAnsi="Times New Roman" w:cs="Times New Roman"/>
          <w:color w:val="28251D"/>
          <w:sz w:val="28"/>
          <w:szCs w:val="28"/>
        </w:rPr>
        <w:t>2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 студента. Сбор данных осуществлён в феврале 2026 года.</w:t>
      </w:r>
    </w:p>
    <w:p w14:paraId="73A7AA36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Состав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полу</w:t>
      </w:r>
      <w:proofErr w:type="spellEnd"/>
    </w:p>
    <w:p w14:paraId="0239E0DE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40767" wp14:editId="354CAE0B">
            <wp:extent cx="3200400" cy="4059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2E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Женщины — 65.4%, мужчины — 34.6%.</w:t>
      </w:r>
    </w:p>
    <w:p w14:paraId="669C5E5A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1.2.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Курс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/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статус</w:t>
      </w:r>
      <w:proofErr w:type="spellEnd"/>
    </w:p>
    <w:p w14:paraId="17DC80A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BB9A" wp14:editId="5ED2FA74">
            <wp:extent cx="3657600" cy="459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44DD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Студенты 1–2 курса — 38.5%, 3–4 курса — 19.2%, 5 курса — 15.4%, магистранты — 19.2%.</w:t>
      </w:r>
    </w:p>
    <w:p w14:paraId="199E7C9F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1.3.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Форма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обучения</w:t>
      </w:r>
      <w:proofErr w:type="spellEnd"/>
    </w:p>
    <w:p w14:paraId="701FAB4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F297A" wp14:editId="32471865">
            <wp:extent cx="3200400" cy="406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1ED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Очная форма — 30.8%, очно-заочная — 69.2%.</w:t>
      </w:r>
    </w:p>
    <w:p w14:paraId="01DA33F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22E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2. Доступность информации об институте</w:t>
      </w:r>
    </w:p>
    <w:p w14:paraId="4BD2D1E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К информации на стендах обращались 50.0% студентов, 50.0% — не обращались. Официальным сайтом пользуются 92.3% опрошенных.</w:t>
      </w:r>
    </w:p>
    <w:p w14:paraId="71CBA7E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FA3D2" wp14:editId="77BC93EA">
            <wp:extent cx="5669280" cy="3110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C44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доступностью информации удовлетворены 50.0% студентов, скорее удовлетворены — 23.1%. Наибольшие затруднения: опросная форма на сайте (26.9% негативных оценок) и электронные сервисы обратной связи (19.2%).</w:t>
      </w:r>
    </w:p>
    <w:p w14:paraId="451A816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238D0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3. </w:t>
      </w:r>
      <w:proofErr w:type="spellStart"/>
      <w:r w:rsidRPr="00516AB9">
        <w:rPr>
          <w:rFonts w:ascii="Times New Roman" w:hAnsi="Times New Roman" w:cs="Times New Roman"/>
          <w:color w:val="1B474D"/>
        </w:rPr>
        <w:t>Комфортность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условий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образовательной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деятельности</w:t>
      </w:r>
      <w:proofErr w:type="spellEnd"/>
    </w:p>
    <w:p w14:paraId="15AA3D7C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3761D" wp14:editId="065704FD">
            <wp:extent cx="5669280" cy="2792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812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71834" wp14:editId="351868DE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85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комфортностью условий удовлетворены 46.2% студентов, скорее удовлетворены — 26.9%, скорее не удовлетворены — 11.5%, не удовлетворены — 7.7%.</w:t>
      </w:r>
    </w:p>
    <w:p w14:paraId="2E61103C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3.1.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График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работы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института</w:t>
      </w:r>
      <w:proofErr w:type="spellEnd"/>
    </w:p>
    <w:p w14:paraId="5CB89D9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BEEA9" wp14:editId="217F6CFD">
            <wp:extent cx="3657600" cy="4129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B3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Графиком работы удовлетворены 57.7%, скорее удовлетворены — 23.1%. Доля негативных оценок — 7.6%.</w:t>
      </w:r>
    </w:p>
    <w:p w14:paraId="7F55158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DE9C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4. Доступность условий для лиц с инвалидностью</w:t>
      </w:r>
    </w:p>
    <w:p w14:paraId="3437047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Группу инвалидности имеют 11.5% участников опроса (3 чел.). Данные приведены в % от общего числа опрошенных.</w:t>
      </w:r>
    </w:p>
    <w:p w14:paraId="3DB3954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4E41A" wp14:editId="752F8A24">
            <wp:extent cx="5669280" cy="3749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F61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Три студента с инвалидностью в целом положительно оценивают условия доступности. Наибольшее число положительных оценок получили: альтернативная версия сайта, адаптированные лифты и расширенные проёмы, сопровождение сотрудниками.</w:t>
      </w:r>
    </w:p>
    <w:p w14:paraId="07FBC16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66FF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5. Дистанционное взаимодействие с институтом</w:t>
      </w:r>
    </w:p>
    <w:p w14:paraId="23724CB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Дистанционными способами взаимодействия пользовались 92.3% студентов, 7.7% — не пользовались.</w:t>
      </w:r>
    </w:p>
    <w:p w14:paraId="72F6F215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378F8" wp14:editId="3AD49F88">
            <wp:extent cx="5486400" cy="2442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06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Доброжелательностью при дистанционном взаимодействии удовлетворены 46.2% студентов, скорее удовлетворены — 23.1%. Негативные оценки — 34.6%. В открытых ответах: трудности с дозвоном, долгие ответы по электронной почте, противоречивая информация у разных сотрудников.</w:t>
      </w:r>
    </w:p>
    <w:p w14:paraId="75C60AC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7E682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6. </w:t>
      </w:r>
      <w:proofErr w:type="spellStart"/>
      <w:r w:rsidRPr="00516AB9">
        <w:rPr>
          <w:rFonts w:ascii="Times New Roman" w:hAnsi="Times New Roman" w:cs="Times New Roman"/>
          <w:color w:val="1B474D"/>
        </w:rPr>
        <w:t>Доброжелательность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вежливость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персонала</w:t>
      </w:r>
      <w:proofErr w:type="spellEnd"/>
    </w:p>
    <w:p w14:paraId="6372D2E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8EB4B" wp14:editId="2D674948">
            <wp:extent cx="5486400" cy="200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F0C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Работники первичного контакта: удовлетворены — 53.8%, скорее удовлетворены — 26.9%, скорее не удовлетворены — 19.2%. Работники, оказывающие услугу: удовлетворены — 42.3%, скорее удовлетворены — 26.9%, негативные оценки — 30.8%.</w:t>
      </w:r>
    </w:p>
    <w:p w14:paraId="6FF209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04723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7. Общая удовлетворённость условиями</w:t>
      </w:r>
    </w:p>
    <w:p w14:paraId="7565CED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30900" wp14:editId="4E2D2788">
            <wp:extent cx="5669280" cy="2668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3F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Организационными условиями удовлетворены 46.2%, скорее удовлетворены — 23.1%, скорее не удовлетворены — 15.4%, не удовлетворены — 19.2%. Состоянием образовательных услуг в целом: удовлетворены 46.2%, не удовлетворены (суммарно) — 30.7%.</w:t>
      </w:r>
    </w:p>
    <w:p w14:paraId="64DBE3B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AE52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8. Готовность рекомендовать институт</w:t>
      </w:r>
    </w:p>
    <w:p w14:paraId="36F5D99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60DA" wp14:editId="345A59DF">
            <wp:extent cx="3657600" cy="44807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65B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Готовы рекомендовать институт — 38.5%, скорее готовы — 34.6% (суммарно — 73.1%). Скорее не готовы — 11.5%, не готовы — 15.4% (суммарно — 26.9%).</w:t>
      </w:r>
    </w:p>
    <w:p w14:paraId="2752253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AC118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9.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Ключевые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темы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открытых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ответов</w:t>
      </w:r>
      <w:proofErr w:type="spellEnd"/>
    </w:p>
    <w:p w14:paraId="3B7E70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68F37" wp14:editId="0D20E43C">
            <wp:extent cx="5486400" cy="2526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A7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Системная проблема — недоступность сотрудников по телефону (особенно бухгалтерия и отдел дистанционного обучения). Студенты указывают также на длительную проверку работ, технические ошибки в тестах на платформе СДО и несвоевременную выдачу учебных доступов.</w:t>
      </w:r>
    </w:p>
    <w:p w14:paraId="461B3FFB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24E5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10.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картина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удовлетворённости</w:t>
      </w:r>
      <w:proofErr w:type="spellEnd"/>
    </w:p>
    <w:p w14:paraId="2233FE0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08E90" wp14:editId="5ECA1010">
            <wp:extent cx="5669280" cy="31127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2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CE1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11.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таблица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показателей</w:t>
      </w:r>
      <w:proofErr w:type="spellEnd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3161"/>
        <w:gridCol w:w="3157"/>
      </w:tblGrid>
      <w:tr w:rsidR="00F633C2" w:rsidRPr="00516AB9" w14:paraId="5E8C09E4" w14:textId="77777777" w:rsidTr="00B60355">
        <w:trPr>
          <w:jc w:val="center"/>
        </w:trPr>
        <w:tc>
          <w:tcPr>
            <w:tcW w:w="3230" w:type="dxa"/>
            <w:shd w:val="clear" w:color="auto" w:fill="1B474D"/>
          </w:tcPr>
          <w:p w14:paraId="47A4FA0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Блок</w:t>
            </w:r>
            <w:proofErr w:type="spellEnd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F18EF2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A9B9A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Скорее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</w:tr>
      <w:tr w:rsidR="00F633C2" w:rsidRPr="00516AB9" w14:paraId="22375ABA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D6469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</w:p>
        </w:tc>
        <w:tc>
          <w:tcPr>
            <w:tcW w:w="3230" w:type="dxa"/>
            <w:shd w:val="clear" w:color="auto" w:fill="E8F4F6"/>
          </w:tcPr>
          <w:p w14:paraId="50393F7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50.0%</w:t>
            </w:r>
          </w:p>
        </w:tc>
        <w:tc>
          <w:tcPr>
            <w:tcW w:w="3230" w:type="dxa"/>
            <w:shd w:val="clear" w:color="auto" w:fill="E8F4F6"/>
          </w:tcPr>
          <w:p w14:paraId="3F43AC5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0C9B1886" w14:textId="77777777" w:rsidTr="00B60355">
        <w:trPr>
          <w:jc w:val="center"/>
        </w:trPr>
        <w:tc>
          <w:tcPr>
            <w:tcW w:w="3230" w:type="dxa"/>
          </w:tcPr>
          <w:p w14:paraId="40A0523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9)</w:t>
            </w:r>
          </w:p>
        </w:tc>
        <w:tc>
          <w:tcPr>
            <w:tcW w:w="3230" w:type="dxa"/>
          </w:tcPr>
          <w:p w14:paraId="617F984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77016C0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92B6DDC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508927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</w:tc>
        <w:tc>
          <w:tcPr>
            <w:tcW w:w="3230" w:type="dxa"/>
            <w:shd w:val="clear" w:color="auto" w:fill="E8F4F6"/>
          </w:tcPr>
          <w:p w14:paraId="24E6B0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57.7%</w:t>
            </w:r>
          </w:p>
        </w:tc>
        <w:tc>
          <w:tcPr>
            <w:tcW w:w="3230" w:type="dxa"/>
            <w:shd w:val="clear" w:color="auto" w:fill="E8F4F6"/>
          </w:tcPr>
          <w:p w14:paraId="4113A19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5A1FF0ED" w14:textId="77777777" w:rsidTr="00B60355">
        <w:trPr>
          <w:jc w:val="center"/>
        </w:trPr>
        <w:tc>
          <w:tcPr>
            <w:tcW w:w="3230" w:type="dxa"/>
          </w:tcPr>
          <w:p w14:paraId="02224D6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Дист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</w:tc>
        <w:tc>
          <w:tcPr>
            <w:tcW w:w="3230" w:type="dxa"/>
          </w:tcPr>
          <w:p w14:paraId="78FFBF3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065731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451698D4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166A9C8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19)</w:t>
            </w:r>
          </w:p>
        </w:tc>
        <w:tc>
          <w:tcPr>
            <w:tcW w:w="3230" w:type="dxa"/>
            <w:shd w:val="clear" w:color="auto" w:fill="E8F4F6"/>
          </w:tcPr>
          <w:p w14:paraId="130488A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53.8%</w:t>
            </w:r>
          </w:p>
        </w:tc>
        <w:tc>
          <w:tcPr>
            <w:tcW w:w="3230" w:type="dxa"/>
            <w:shd w:val="clear" w:color="auto" w:fill="E8F4F6"/>
          </w:tcPr>
          <w:p w14:paraId="2FFAD6F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76B9A1A" w14:textId="77777777" w:rsidTr="00B60355">
        <w:trPr>
          <w:jc w:val="center"/>
        </w:trPr>
        <w:tc>
          <w:tcPr>
            <w:tcW w:w="3230" w:type="dxa"/>
          </w:tcPr>
          <w:p w14:paraId="0EF1CC9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оказывающий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услугу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  <w:tc>
          <w:tcPr>
            <w:tcW w:w="3230" w:type="dxa"/>
          </w:tcPr>
          <w:p w14:paraId="6D4292F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42.3%</w:t>
            </w:r>
          </w:p>
        </w:tc>
        <w:tc>
          <w:tcPr>
            <w:tcW w:w="3230" w:type="dxa"/>
          </w:tcPr>
          <w:p w14:paraId="2E0C42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0A30D7E9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660392F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  <w:tc>
          <w:tcPr>
            <w:tcW w:w="3230" w:type="dxa"/>
            <w:shd w:val="clear" w:color="auto" w:fill="E8F4F6"/>
          </w:tcPr>
          <w:p w14:paraId="3228E39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  <w:shd w:val="clear" w:color="auto" w:fill="E8F4F6"/>
          </w:tcPr>
          <w:p w14:paraId="65AF1E7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71A6AD89" w14:textId="77777777" w:rsidTr="00B60355">
        <w:trPr>
          <w:jc w:val="center"/>
        </w:trPr>
        <w:tc>
          <w:tcPr>
            <w:tcW w:w="3230" w:type="dxa"/>
          </w:tcPr>
          <w:p w14:paraId="0ED7B1D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  <w:tc>
          <w:tcPr>
            <w:tcW w:w="3230" w:type="dxa"/>
          </w:tcPr>
          <w:p w14:paraId="03CED8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3153A9D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</w:tbl>
    <w:p w14:paraId="225C4F3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7C0EE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12. </w:t>
      </w:r>
      <w:proofErr w:type="spellStart"/>
      <w:r w:rsidRPr="00516AB9">
        <w:rPr>
          <w:rFonts w:ascii="Times New Roman" w:hAnsi="Times New Roman" w:cs="Times New Roman"/>
          <w:color w:val="1B474D"/>
        </w:rPr>
        <w:t>Выводы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рекомендации</w:t>
      </w:r>
      <w:proofErr w:type="spellEnd"/>
    </w:p>
    <w:p w14:paraId="23913D09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15DF3C31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 опросе приняли участие 26 студента. Преобладает очно-заочная форма обучения (69.2%).</w:t>
      </w:r>
    </w:p>
    <w:p w14:paraId="3014E6F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Доступностью информации об институте в целом удовлетворены 73.1% студентов. Наибольшие затруднения — с опросной формой и электронными сервисами обратной связи.</w:t>
      </w:r>
    </w:p>
    <w:p w14:paraId="2CEC557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Комфортностью условий удовлетворены 73.1%. Лучшие оценки — у зоны отдыха и санитарного состояния помещений.</w:t>
      </w:r>
    </w:p>
    <w:p w14:paraId="019671C6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Графиком работы института удовлетворены 80.8% опрошенных.</w:t>
      </w:r>
    </w:p>
    <w:p w14:paraId="0397625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Доброжелательность персонала при дистанционном взаимодействии получила наибольшее число негативных оценок — 34.6%.</w:t>
      </w:r>
    </w:p>
    <w:p w14:paraId="61A574C8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Организационными условиями не удовлетворены (суммарно) 34.6% студентов.</w:t>
      </w:r>
    </w:p>
    <w:p w14:paraId="237E10A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Готовы рекомендовать институт 73.1% студентов, не готовы — 26.9%.</w:t>
      </w:r>
    </w:p>
    <w:p w14:paraId="3652ACA4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lastRenderedPageBreak/>
        <w:t>Главные проблемы из открытых ответов: недоступность сотрудников по телефону, долгая проверка работ, технические сбои СДО, запоздалая выдача доступов к учебным материалам.</w:t>
      </w:r>
    </w:p>
    <w:p w14:paraId="1CB5E9B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FF07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t>Рекомендации</w:t>
      </w:r>
    </w:p>
    <w:p w14:paraId="24EB787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Ввести обязательный контроль ответов на телефонные звонки и электронные письма; установить стандарты времени ответа для всех подразделений (в первую очередь — бухгалтерии и отдела дистанционного обучения).</w:t>
      </w:r>
    </w:p>
    <w:p w14:paraId="7878A37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Утвердить и соблюдать нормативные сроки проверки работ студентов; обеспечить преподавателей чёткими регламентами.</w:t>
      </w:r>
    </w:p>
    <w:p w14:paraId="47254987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аудит и исправление ошибок в тестах и заданиях платформы СДО; создать механизм оперативной обработки жалоб на технические дефекты.</w:t>
      </w:r>
    </w:p>
    <w:p w14:paraId="7C82ACC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Разработать единый стандарт информирования обучающихся (особенно очно-заочной формы): сроки сессии, порядок доступа к материалам, требования к практике.</w:t>
      </w:r>
    </w:p>
    <w:p w14:paraId="3C2AA42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Устранить ситуации «перекидывания» студентов между подразделениями — провести обучение сотрудников и расширить их компетенции.</w:t>
      </w:r>
    </w:p>
    <w:p w14:paraId="4AE975EA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 xml:space="preserve">Улучшить раздел «Обратная связь» на официальном сайте: усилить заметность форм подачи обращений и раздела 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>FAQ</w:t>
      </w: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.</w:t>
      </w:r>
    </w:p>
    <w:p w14:paraId="795D7FD9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повторный опрос по итогам реализованных корректирующих мер для оценки динамики удовлетворённости.</w:t>
      </w:r>
    </w:p>
    <w:p w14:paraId="12FEB2F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4E02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i/>
          <w:color w:val="7A7974"/>
          <w:sz w:val="28"/>
          <w:szCs w:val="28"/>
        </w:rPr>
        <w:t>Омск, апрель 2026 г.</w:t>
      </w:r>
    </w:p>
    <w:p w14:paraId="31B764D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sz w:val="28"/>
          <w:szCs w:val="28"/>
        </w:rPr>
        <w:br w:type="page"/>
      </w:r>
    </w:p>
    <w:p w14:paraId="63A4B345" w14:textId="77777777" w:rsidR="00F633C2" w:rsidRPr="00516AB9" w:rsidRDefault="00F633C2" w:rsidP="00F633C2">
      <w:pPr>
        <w:pStyle w:val="1"/>
        <w:spacing w:before="360" w:after="180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eastAsia="Calibri" w:hAnsi="Times New Roman" w:cs="Times New Roman"/>
          <w:color w:val="1B474D"/>
          <w:lang w:val="ru-RU"/>
        </w:rPr>
        <w:lastRenderedPageBreak/>
        <w:t>Раздел 9. Удовлетворённость в разбивке по направлениям подготовки</w:t>
      </w:r>
    </w:p>
    <w:p w14:paraId="407E411F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данном разделе представлен сравнительный анализ удовлетворённости студентов организацией учебного процесса в разрезе трёх групп направлений подготовки: государственное и муниципальное управление (ГМУ), гражданское право и прочие направления. Сравнение позволяет выявить различия в восприятии условий образовательной деятельности среди разных учебных программ.</w:t>
      </w:r>
    </w:p>
    <w:p w14:paraId="4695210C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t>9.1. Состав групп</w:t>
      </w:r>
    </w:p>
    <w:p w14:paraId="62219A9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опросе приняли участие студенты следующих групп направлений подготовки:</w:t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500"/>
      </w:tblGrid>
      <w:tr w:rsidR="009A63C4" w:rsidRPr="00516AB9" w14:paraId="141350FA" w14:textId="77777777" w:rsidTr="009A63C4">
        <w:trPr>
          <w:tblHeader/>
        </w:trPr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341C12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Группа направлений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63C46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Доля</w:t>
            </w:r>
          </w:p>
        </w:tc>
      </w:tr>
      <w:tr w:rsidR="009A63C4" w:rsidRPr="00516AB9" w14:paraId="08D25C53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650ED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ГМУ (Государственное и муниципальное управление, Государственное управление и муниципальный менеджмент)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5987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34,6%</w:t>
            </w:r>
          </w:p>
        </w:tc>
      </w:tr>
      <w:tr w:rsidR="009A63C4" w:rsidRPr="00516AB9" w14:paraId="2A3E686B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C8C2F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Гражданское право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32850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15,4%</w:t>
            </w:r>
          </w:p>
        </w:tc>
      </w:tr>
      <w:tr w:rsidR="009A63C4" w:rsidRPr="00516AB9" w14:paraId="7E32328D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38A551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Остальные направления (8 профилей)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572BA4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50,0%</w:t>
            </w:r>
          </w:p>
        </w:tc>
      </w:tr>
    </w:tbl>
    <w:p w14:paraId="66CA54B7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B20D64E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9.2.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Сравнительный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анализ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ключевым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параметрам</w:t>
      </w:r>
      <w:proofErr w:type="spellEnd"/>
    </w:p>
    <w:p w14:paraId="35CA68C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Диаграмма ниже отражает долю положительных ответов («да, удовлетворён» и «скорее удовлетворён») по каждому блоку вопросов в разрезе трёх групп. Значения приведены в процентах от числа студентов соответствующего направления.</w:t>
      </w:r>
    </w:p>
    <w:p w14:paraId="31221FEA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D72948" wp14:editId="41575F1C">
            <wp:extent cx="5334000" cy="2952750"/>
            <wp:effectExtent l="0" t="0" r="0" b="0"/>
            <wp:docPr id="1155491642" name="chart_group_comparison.png" descr="Рис. 1. Сравнение удовлетворённости по направлениям подготовки (% положительных ответов)" title="Рис. 1. Сравнение удовлетворённости по направлениям подготовки (% положительных отве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6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1. Сравнение удовлетворённости по направлениям подготовки (% положительных ответов)</w:t>
      </w:r>
    </w:p>
    <w:p w14:paraId="7BD3E876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Радарная диаграмма ниже позволяет визуально оценить профиль удовлетворённости каждой группы по шести ключевым параметрам.</w:t>
      </w:r>
    </w:p>
    <w:p w14:paraId="0B89EC5C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8989A" wp14:editId="29332736">
            <wp:extent cx="3810000" cy="3714750"/>
            <wp:effectExtent l="0" t="0" r="0" b="0"/>
            <wp:docPr id="1512777235" name="chart_radar_groups.png" descr="Рис. 2. Профиль удовлетворённости по ключевым параметрам" title="Рис. 2. Профиль удовлетворённости по ключевым парамет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1B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2. Профиль удовлетворённости по ключевым параметрам</w:t>
      </w:r>
    </w:p>
    <w:p w14:paraId="57A8ADA4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lastRenderedPageBreak/>
        <w:t>9.3. Сводная таблица результатов</w:t>
      </w:r>
    </w:p>
    <w:p w14:paraId="7D1A51F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таблице представлены процентные значения положительных оценок по всем блокам вопросов. Цветовая кодировка: зелёный — ≥80%, оранжевый — 60–79%, красный — &lt;60%.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689"/>
        <w:gridCol w:w="1870"/>
        <w:gridCol w:w="1922"/>
      </w:tblGrid>
      <w:tr w:rsidR="00F633C2" w:rsidRPr="00516AB9" w14:paraId="7DED436A" w14:textId="77777777" w:rsidTr="00B60355">
        <w:trPr>
          <w:tblHeader/>
        </w:trPr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C6F4A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Параметр удовлетворённости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A3890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ГМУ (n=9)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CD7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Гражданское право (n=4)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C147D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Остальные (n=13)</w:t>
            </w:r>
          </w:p>
        </w:tc>
      </w:tr>
      <w:tr w:rsidR="00F633C2" w:rsidRPr="00516AB9" w14:paraId="481E05F3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402A9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Открытость информации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AE26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E1A8CB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95AD1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4FFE207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716C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Комфортность условий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0912EB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BA610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28F9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18278C99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0097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График работы института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E7CF5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0AA7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CBCA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604C9AF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4994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Дистанционное взаимодействие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D6118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6AB25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47C49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30D209F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E1904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(первичный контакт)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967F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E1C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347D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59F31E2A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5CF6F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(оказание услуги)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983825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2CBD4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65BC3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17CB9A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D91F5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93BB3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824E2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FCFC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5200996D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BAEB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Общее состояние образовательных услуг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9B456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C34C5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54E5C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D204126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0ACE0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Готовность рекомендовать институт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8EBD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0146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586B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</w:tbl>
    <w:p w14:paraId="49702532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6E4FD98F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9.4.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Ключевые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085A407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По результатам сравнительного анализа можно выделить следующие закономерности:</w:t>
      </w:r>
    </w:p>
    <w:p w14:paraId="09678593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группы «Гражданское право»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демонстрируют наиболее высокие оценки по информационной открытости, графику работы и дистанционному взаимодействию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(100,0%),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что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может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свидетельствовать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об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активном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использовании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информационных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каналов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637C0D4D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lastRenderedPageBreak/>
        <w:t xml:space="preserve">Студенты направлений ГМУ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показывают стабильно высокие результаты по комфортности условий (88,9%), доброжелательности персонала (88,9%) и организационным условиям (88,9%).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В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целом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группа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демонстрирует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высокий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и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равномерный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уровень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удовлетворённости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291725F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прочих направлений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в ряде параметров значимо уступают остальным группам: дистанционное взаимодействие (53,8%), доброжелательность при оказании услуги (53,8%) и организационные условия (53,8%). Это указывает на необходимость дополнительного внимания к качеству обслуживания и организационным процессам для данной категории студентов.</w:t>
      </w:r>
    </w:p>
    <w:p w14:paraId="7817D97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Наибольший разрыв между группами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наблюдается по параметрам дистанционного взаимодействия и организационных условий, где разница между лучшими и худшими показателями достигает 46,2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п.п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.</w:t>
      </w:r>
    </w:p>
    <w:p w14:paraId="45FE32D9" w14:textId="77777777" w:rsidR="00F633C2" w:rsidRPr="00516AB9" w:rsidRDefault="00F633C2" w:rsidP="00F633C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14:paraId="43F1847A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5A7278"/>
          <w:sz w:val="28"/>
          <w:szCs w:val="28"/>
        </w:rPr>
        <w:t>Рекомендуется провести дополнительное качественное исследование (фокус-группы) среди студентов прочих направлений с целью выявления конкретных причин более низкой удовлетворённости организационными аспектами образовательного процесса.</w:t>
      </w:r>
    </w:p>
    <w:p w14:paraId="3AEB77F4" w14:textId="77777777" w:rsidR="00B81B8F" w:rsidRDefault="00B81B8F"/>
    <w:sectPr w:rsidR="00B81B8F">
      <w:pgSz w:w="12240" w:h="15840"/>
      <w:pgMar w:top="1365" w:right="1365" w:bottom="1365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0C95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6C25FF"/>
    <w:multiLevelType w:val="hybridMultilevel"/>
    <w:tmpl w:val="AC3C216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22F11DF"/>
    <w:multiLevelType w:val="hybridMultilevel"/>
    <w:tmpl w:val="989CFD1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8F"/>
    <w:rsid w:val="00225D68"/>
    <w:rsid w:val="009A63C4"/>
    <w:rsid w:val="00B81B8F"/>
    <w:rsid w:val="00DF02CA"/>
    <w:rsid w:val="00F633C2"/>
    <w:rsid w:val="00FD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64C9"/>
  <w15:docId w15:val="{8EDCDED5-BC5B-42EA-B6A9-B9FC7FC4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1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633C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633C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a2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F633C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F633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4">
    <w:name w:val="List Paragraph"/>
    <w:basedOn w:val="a0"/>
    <w:uiPriority w:val="34"/>
    <w:qFormat/>
    <w:rsid w:val="00F633C2"/>
    <w:pPr>
      <w:spacing w:after="200" w:line="276" w:lineRule="auto"/>
      <w:ind w:left="720"/>
      <w:contextualSpacing/>
    </w:pPr>
    <w:rPr>
      <w:rFonts w:ascii="Calibri" w:eastAsiaTheme="minorEastAsia" w:hAnsi="Calibri"/>
      <w:sz w:val="22"/>
      <w:lang w:val="en-US"/>
    </w:rPr>
  </w:style>
  <w:style w:type="paragraph" w:styleId="a">
    <w:name w:val="List Bullet"/>
    <w:basedOn w:val="a0"/>
    <w:uiPriority w:val="99"/>
    <w:unhideWhenUsed/>
    <w:rsid w:val="00F633C2"/>
    <w:pPr>
      <w:numPr>
        <w:numId w:val="3"/>
      </w:numPr>
      <w:spacing w:after="200" w:line="276" w:lineRule="auto"/>
      <w:contextualSpacing/>
    </w:pPr>
    <w:rPr>
      <w:rFonts w:ascii="Calibri" w:eastAsiaTheme="minorEastAsia" w:hAnsi="Calibri"/>
      <w:sz w:val="22"/>
      <w:lang w:val="en-US"/>
    </w:rPr>
  </w:style>
  <w:style w:type="table" w:styleId="a5">
    <w:name w:val="Table Grid"/>
    <w:basedOn w:val="a2"/>
    <w:uiPriority w:val="59"/>
    <w:rsid w:val="00F633C2"/>
    <w:pPr>
      <w:spacing w:after="0" w:line="240" w:lineRule="auto"/>
    </w:pPr>
    <w:rPr>
      <w:rFonts w:asciiTheme="minorHAnsi" w:eastAsiaTheme="minorEastAsia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1471</Words>
  <Characters>8388</Characters>
  <Application>Microsoft Office Word</Application>
  <DocSecurity>0</DocSecurity>
  <Lines>69</Lines>
  <Paragraphs>19</Paragraphs>
  <ScaleCrop>false</ScaleCrop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Зеленская Нина Ивановна</cp:lastModifiedBy>
  <cp:revision>6</cp:revision>
  <dcterms:created xsi:type="dcterms:W3CDTF">2026-04-21T09:24:00Z</dcterms:created>
  <dcterms:modified xsi:type="dcterms:W3CDTF">2026-04-21T10:42:00Z</dcterms:modified>
</cp:coreProperties>
</file>