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1C2C1" w14:textId="7B9398B6" w:rsidR="00B81B8F" w:rsidRDefault="00F633C2" w:rsidP="00F633C2">
      <w:pPr>
        <w:spacing w:before="157" w:after="157" w:line="270" w:lineRule="auto"/>
        <w:jc w:val="center"/>
      </w:pPr>
      <w:bookmarkStart w:id="0" w:name="bm_12_анализ_удовлетворённости_уч_667386"/>
      <w:r>
        <w:rPr>
          <w:rFonts w:eastAsia="Georgia" w:hAnsi="Georgia" w:cs="Georgia"/>
          <w:b/>
          <w:color w:val="000000"/>
          <w:sz w:val="39"/>
        </w:rPr>
        <w:t>1</w:t>
      </w:r>
      <w:r w:rsidR="004A3E17">
        <w:rPr>
          <w:rFonts w:eastAsia="Georgia" w:hAnsi="Georgia" w:cs="Georgia"/>
          <w:b/>
          <w:color w:val="000000"/>
          <w:sz w:val="39"/>
        </w:rPr>
        <w:t>3</w:t>
      </w:r>
      <w:r>
        <w:rPr>
          <w:rFonts w:eastAsia="Georgia" w:hAnsi="Georgia" w:cs="Georgia"/>
          <w:b/>
          <w:color w:val="000000"/>
          <w:sz w:val="39"/>
        </w:rPr>
        <w:t xml:space="preserve">. Анализ удовлетворённости учебным процессом среди студентов </w:t>
      </w:r>
      <w:r w:rsidR="00BE4ED6">
        <w:rPr>
          <w:rFonts w:eastAsia="Georgia" w:hAnsi="Georgia" w:cs="Georgia"/>
          <w:b/>
          <w:color w:val="000000"/>
          <w:sz w:val="39"/>
        </w:rPr>
        <w:t xml:space="preserve">магистратуры </w:t>
      </w:r>
      <w:r>
        <w:rPr>
          <w:rFonts w:eastAsia="Georgia" w:hAnsi="Georgia" w:cs="Georgia"/>
          <w:b/>
          <w:color w:val="000000"/>
          <w:sz w:val="39"/>
        </w:rPr>
        <w:t xml:space="preserve">(ОЧНОЕ ОТДЕЛЕНИЕ) направления подготовки </w:t>
      </w:r>
      <w:bookmarkEnd w:id="0"/>
      <w:r w:rsidR="00BE4ED6">
        <w:rPr>
          <w:rFonts w:eastAsia="Georgia" w:hAnsi="Georgia" w:cs="Georgia"/>
          <w:b/>
          <w:color w:val="000000"/>
          <w:sz w:val="39"/>
        </w:rPr>
        <w:t>МЕНЕДЖМЕНТ</w:t>
      </w:r>
    </w:p>
    <w:p w14:paraId="541963EB" w14:textId="77777777" w:rsidR="00B81B8F" w:rsidRDefault="00F633C2" w:rsidP="00F633C2">
      <w:pPr>
        <w:spacing w:after="210" w:line="360" w:lineRule="auto"/>
        <w:jc w:val="center"/>
      </w:pPr>
      <w:r>
        <w:rPr>
          <w:rFonts w:eastAsia="Georgia" w:hAnsi="Georgia" w:cs="Georgia"/>
          <w:color w:val="000000"/>
        </w:rPr>
        <w:t>АНОО ВО СИБИТ</w:t>
      </w:r>
    </w:p>
    <w:p w14:paraId="6D1B074F" w14:textId="77777777" w:rsidR="00B81B8F" w:rsidRPr="00F633C2" w:rsidRDefault="00F633C2" w:rsidP="00F633C2">
      <w:pPr>
        <w:spacing w:after="21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Georgia" w:hAnsi="Georgia" w:cs="Georgia"/>
          <w:b/>
          <w:color w:val="000000"/>
        </w:rPr>
        <w:t xml:space="preserve">ИССЛЕДОВАНИЕ КАЧЕСТВА УСЛОВИЙ ОСУЩЕСТВЛЕНИЯ ОБРАЗОВАТЕЛЬНОЙ </w:t>
      </w:r>
      <w:r w:rsidRPr="00F633C2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ДЕЯТЕЛЬНОСТИ СРЕДИ ОБУЧАЮЩИХСЯ</w:t>
      </w:r>
    </w:p>
    <w:p w14:paraId="40F452D7" w14:textId="77777777" w:rsidR="00B81B8F" w:rsidRPr="00F633C2" w:rsidRDefault="00F633C2" w:rsidP="00F633C2">
      <w:pPr>
        <w:spacing w:after="21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3C2">
        <w:rPr>
          <w:rFonts w:ascii="Times New Roman" w:eastAsia="Georgia" w:hAnsi="Times New Roman" w:cs="Times New Roman"/>
          <w:color w:val="000000"/>
          <w:sz w:val="28"/>
          <w:szCs w:val="28"/>
        </w:rPr>
        <w:t>2026 год</w:t>
      </w:r>
    </w:p>
    <w:p w14:paraId="781AE6BB" w14:textId="77777777" w:rsidR="00B81B8F" w:rsidRPr="00F633C2" w:rsidRDefault="00F633C2" w:rsidP="00F633C2">
      <w:pPr>
        <w:spacing w:before="315" w:after="105" w:line="360" w:lineRule="auto"/>
        <w:ind w:left="-30"/>
        <w:jc w:val="both"/>
        <w:rPr>
          <w:rFonts w:ascii="Times New Roman" w:hAnsi="Times New Roman" w:cs="Times New Roman"/>
          <w:sz w:val="28"/>
          <w:szCs w:val="28"/>
        </w:rPr>
      </w:pPr>
      <w:bookmarkStart w:id="1" w:name="введение"/>
      <w:r w:rsidRPr="00F633C2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Введение</w:t>
      </w:r>
      <w:bookmarkEnd w:id="1"/>
    </w:p>
    <w:p w14:paraId="3B1291F7" w14:textId="72AE7E6F" w:rsidR="00B81B8F" w:rsidRPr="00F633C2" w:rsidRDefault="00F633C2" w:rsidP="00F633C2">
      <w:pPr>
        <w:spacing w:after="21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3C2">
        <w:rPr>
          <w:rFonts w:ascii="Times New Roman" w:eastAsia="Georgia" w:hAnsi="Times New Roman" w:cs="Times New Roman"/>
          <w:color w:val="000000"/>
          <w:sz w:val="28"/>
          <w:szCs w:val="28"/>
        </w:rPr>
        <w:t>Настоящий отчёт по самообследованию подготовлен на основе материалов исследования качества условий осуществления образовательной деятельности среди обучающихся АНОО ВО СИБИТ. В основу содержания положена структура и основные аналитические разделы базового отчёта по удовлетворённости студентов.</w:t>
      </w:r>
    </w:p>
    <w:p w14:paraId="52767849" w14:textId="414B6A64" w:rsidR="00B81B8F" w:rsidRPr="00F633C2" w:rsidRDefault="00F633C2" w:rsidP="00F633C2">
      <w:pPr>
        <w:spacing w:after="21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3C2">
        <w:rPr>
          <w:rFonts w:ascii="Times New Roman" w:eastAsia="Georgia" w:hAnsi="Times New Roman" w:cs="Times New Roman"/>
          <w:color w:val="000000"/>
          <w:sz w:val="28"/>
          <w:szCs w:val="28"/>
        </w:rPr>
        <w:t>Документ ориентирован на оценку удовлетворённости учебным процессом по соответствующему направлению подготовки и форме обучения, а также включает сведения о контингенте магистратуры, представленные в отдельной таблице.</w:t>
      </w:r>
    </w:p>
    <w:p w14:paraId="25F17445" w14:textId="77777777" w:rsidR="00B81B8F" w:rsidRPr="00F633C2" w:rsidRDefault="00F633C2" w:rsidP="00F633C2">
      <w:pPr>
        <w:spacing w:before="315" w:after="105" w:line="360" w:lineRule="auto"/>
        <w:ind w:left="-30"/>
        <w:jc w:val="both"/>
        <w:rPr>
          <w:rFonts w:ascii="Times New Roman" w:hAnsi="Times New Roman" w:cs="Times New Roman"/>
          <w:sz w:val="28"/>
          <w:szCs w:val="28"/>
        </w:rPr>
      </w:pPr>
      <w:bookmarkStart w:id="2" w:name="сведения_по_магистратуре"/>
      <w:r w:rsidRPr="00F633C2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Сведения по магистратуре</w:t>
      </w:r>
      <w:bookmarkEnd w:id="2"/>
    </w:p>
    <w:p w14:paraId="3B06362F" w14:textId="2B600BA4" w:rsidR="00B81B8F" w:rsidRPr="00F633C2" w:rsidRDefault="00F633C2" w:rsidP="00F633C2">
      <w:pPr>
        <w:spacing w:after="21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3C2">
        <w:rPr>
          <w:rFonts w:ascii="Times New Roman" w:eastAsia="Georgia" w:hAnsi="Times New Roman" w:cs="Times New Roman"/>
          <w:color w:val="000000"/>
          <w:sz w:val="28"/>
          <w:szCs w:val="28"/>
        </w:rPr>
        <w:t>Ниже приведены данные о контингенте магистратуры по формам обучения и направлениям подготовки.</w:t>
      </w:r>
    </w:p>
    <w:tbl>
      <w:tblPr>
        <w:tblStyle w:val="NormalGrid"/>
        <w:tblW w:w="0" w:type="auto"/>
        <w:jc w:val="center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ook w:val="04A0" w:firstRow="1" w:lastRow="0" w:firstColumn="1" w:lastColumn="0" w:noHBand="0" w:noVBand="1"/>
      </w:tblPr>
      <w:tblGrid>
        <w:gridCol w:w="1722"/>
        <w:gridCol w:w="3509"/>
        <w:gridCol w:w="2355"/>
        <w:gridCol w:w="1918"/>
      </w:tblGrid>
      <w:tr w:rsidR="00B81B8F" w:rsidRPr="00F633C2" w14:paraId="40C2320A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598EF9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lastRenderedPageBreak/>
              <w:t>Форма обучения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ECEE7DC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Направление подготовки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2A1B113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Общее количество студентов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1012EAB1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Из них в академ. отпуске</w:t>
            </w:r>
          </w:p>
        </w:tc>
      </w:tr>
      <w:tr w:rsidR="00B81B8F" w:rsidRPr="00F633C2" w14:paraId="28D69076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5067AC7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A119A2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Менеджмент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36120B7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4030BD2F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B81B8F" w:rsidRPr="00F633C2" w14:paraId="38D61175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A70D748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Заочная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FFCBE2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Государственное и муниципальное управление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13D7811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4E33EB48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B81B8F" w:rsidRPr="00F633C2" w14:paraId="031A7007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768895A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Заочная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069FEFC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Менеджмент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D67F9B8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68E3B818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B81B8F" w:rsidRPr="00F633C2" w14:paraId="2DD488EB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84860F6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Заочная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BBC7B7B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Экономика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8DA24C8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33C1D351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B81B8F" w:rsidRPr="00F633C2" w14:paraId="244772FB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956594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Очно-заочная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766C02B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Менеджмент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BE736EB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3032B49B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B81B8F" w:rsidRPr="00F633C2" w14:paraId="3C060FA4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412C466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Очно-заочная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F056641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Экономика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30A65A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5E6AA342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B81B8F" w:rsidRPr="00F633C2" w14:paraId="04B8A701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92D94C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A726D4" w14:textId="77777777" w:rsidR="00B81B8F" w:rsidRPr="00F633C2" w:rsidRDefault="00B81B8F" w:rsidP="00F633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A897445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</w:rPr>
              <w:t>88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663E726D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</w:rPr>
              <w:t>12</w:t>
            </w:r>
          </w:p>
        </w:tc>
      </w:tr>
    </w:tbl>
    <w:p w14:paraId="0C7FAA21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t>1. Общие сведения об опросе</w:t>
      </w:r>
    </w:p>
    <w:p w14:paraId="18AE5961" w14:textId="52CB6503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 xml:space="preserve">Опрос проводился среди обучающихся АНОО ВО СИБИТ в целях оценки качества условий осуществления образовательной деятельности. В анкетировании приняли участие </w:t>
      </w:r>
      <w:r w:rsidR="00DF02CA">
        <w:rPr>
          <w:rFonts w:ascii="Times New Roman" w:hAnsi="Times New Roman" w:cs="Times New Roman"/>
          <w:color w:val="28251D"/>
          <w:sz w:val="28"/>
          <w:szCs w:val="28"/>
        </w:rPr>
        <w:t>9</w:t>
      </w:r>
      <w:r>
        <w:rPr>
          <w:rFonts w:ascii="Times New Roman" w:hAnsi="Times New Roman" w:cs="Times New Roman"/>
          <w:color w:val="28251D"/>
          <w:sz w:val="28"/>
          <w:szCs w:val="28"/>
        </w:rPr>
        <w:t>2</w:t>
      </w:r>
      <w:r w:rsidRPr="00516AB9">
        <w:rPr>
          <w:rFonts w:ascii="Times New Roman" w:hAnsi="Times New Roman" w:cs="Times New Roman"/>
          <w:color w:val="28251D"/>
          <w:sz w:val="28"/>
          <w:szCs w:val="28"/>
        </w:rPr>
        <w:t xml:space="preserve"> студента. Сбор данных осуществлён в феврале 2026 года.</w:t>
      </w:r>
    </w:p>
    <w:p w14:paraId="73A7AA36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0808D"/>
          <w:sz w:val="28"/>
          <w:szCs w:val="28"/>
        </w:rPr>
        <w:lastRenderedPageBreak/>
        <w:t xml:space="preserve">1.1.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Состав</w:t>
      </w:r>
      <w:proofErr w:type="spellEnd"/>
      <w:r w:rsidRPr="00516AB9">
        <w:rPr>
          <w:rFonts w:ascii="Times New Roman" w:hAnsi="Times New Roman" w:cs="Times New Roman"/>
          <w:color w:val="20808D"/>
          <w:sz w:val="28"/>
          <w:szCs w:val="28"/>
        </w:rPr>
        <w:t xml:space="preserve"> по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полу</w:t>
      </w:r>
      <w:proofErr w:type="spellEnd"/>
    </w:p>
    <w:p w14:paraId="0239E0DE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740767" wp14:editId="354CAE0B">
            <wp:extent cx="3200400" cy="40592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05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452E2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Женщины — 65.4%, мужчины — 34.6%.</w:t>
      </w:r>
    </w:p>
    <w:p w14:paraId="669C5E5A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0808D"/>
          <w:sz w:val="28"/>
          <w:szCs w:val="28"/>
        </w:rPr>
        <w:lastRenderedPageBreak/>
        <w:t xml:space="preserve">1.2.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Курс</w:t>
      </w:r>
      <w:proofErr w:type="spellEnd"/>
      <w:r w:rsidRPr="00516AB9">
        <w:rPr>
          <w:rFonts w:ascii="Times New Roman" w:hAnsi="Times New Roman" w:cs="Times New Roman"/>
          <w:color w:val="20808D"/>
          <w:sz w:val="28"/>
          <w:szCs w:val="28"/>
        </w:rPr>
        <w:t xml:space="preserve"> /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статус</w:t>
      </w:r>
      <w:proofErr w:type="spellEnd"/>
    </w:p>
    <w:p w14:paraId="17DC80A7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BDBB9A" wp14:editId="5ED2FA74">
            <wp:extent cx="3657600" cy="45978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59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044DD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Студенты 1–2 курса — 38.5%, 3–4 курса — 19.2%, 5 курса — 15.4%, магистранты — 19.2%.</w:t>
      </w:r>
    </w:p>
    <w:p w14:paraId="199E7C9F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0808D"/>
          <w:sz w:val="28"/>
          <w:szCs w:val="28"/>
        </w:rPr>
        <w:lastRenderedPageBreak/>
        <w:t xml:space="preserve">1.3.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Форма</w:t>
      </w:r>
      <w:proofErr w:type="spellEnd"/>
      <w:r w:rsidRPr="00516AB9">
        <w:rPr>
          <w:rFonts w:ascii="Times New Roman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обучения</w:t>
      </w:r>
      <w:proofErr w:type="spellEnd"/>
    </w:p>
    <w:p w14:paraId="701FAB4A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DF297A" wp14:editId="32471865">
            <wp:extent cx="3200400" cy="40673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06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B1ED3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Очная форма — 30.8%, очно-заочная — 69.2%.</w:t>
      </w:r>
    </w:p>
    <w:p w14:paraId="01DA33F0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0722E7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t>2. Доступность информации об институте</w:t>
      </w:r>
    </w:p>
    <w:p w14:paraId="4BD2D1E9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К информации на стендах обращались 50.0% студентов, 50.0% — не обращались. Официальным сайтом пользуются 92.3% опрошенных.</w:t>
      </w:r>
    </w:p>
    <w:p w14:paraId="71CBA7E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C7FA3D2" wp14:editId="77BC93EA">
            <wp:extent cx="5669280" cy="31104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11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4C446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В целом доступностью информации удовлетворены 50.0% студентов, скорее удовлетворены — 23.1%. Наибольшие затруднения: опросная форма на сайте (26.9% негативных оценок) и электронные сервисы обратной связи (19.2%).</w:t>
      </w:r>
    </w:p>
    <w:p w14:paraId="451A8161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E238D0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t xml:space="preserve">3. </w:t>
      </w:r>
      <w:proofErr w:type="spellStart"/>
      <w:r w:rsidRPr="00516AB9">
        <w:rPr>
          <w:rFonts w:ascii="Times New Roman" w:hAnsi="Times New Roman" w:cs="Times New Roman"/>
          <w:color w:val="1B474D"/>
        </w:rPr>
        <w:t>Комфортность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условий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образовательной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деятельности</w:t>
      </w:r>
      <w:proofErr w:type="spellEnd"/>
    </w:p>
    <w:p w14:paraId="15AA3D7C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83761D" wp14:editId="065704FD">
            <wp:extent cx="5669280" cy="27922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79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5812F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671834" wp14:editId="351868DE">
            <wp:extent cx="3657600" cy="3657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9B852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В целом комфортностью условий удовлетворены 46.2% студентов, скорее удовлетворены — 26.9%, скорее не удовлетворены — 11.5%, не удовлетворены — 7.7%.</w:t>
      </w:r>
    </w:p>
    <w:p w14:paraId="2E61103C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0808D"/>
          <w:sz w:val="28"/>
          <w:szCs w:val="28"/>
        </w:rPr>
        <w:lastRenderedPageBreak/>
        <w:t xml:space="preserve">3.1.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График</w:t>
      </w:r>
      <w:proofErr w:type="spellEnd"/>
      <w:r w:rsidRPr="00516AB9">
        <w:rPr>
          <w:rFonts w:ascii="Times New Roman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работы</w:t>
      </w:r>
      <w:proofErr w:type="spellEnd"/>
      <w:r w:rsidRPr="00516AB9">
        <w:rPr>
          <w:rFonts w:ascii="Times New Roman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института</w:t>
      </w:r>
      <w:proofErr w:type="spellEnd"/>
    </w:p>
    <w:p w14:paraId="5CB89D98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7BEEA9" wp14:editId="217F6CFD">
            <wp:extent cx="3657600" cy="412908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12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2BB38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Графиком работы удовлетворены 57.7%, скорее удовлетворены — 23.1%. Доля негативных оценок — 7.6%.</w:t>
      </w:r>
    </w:p>
    <w:p w14:paraId="7F551580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26DE9C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t>4. Доступность условий для лиц с инвалидностью</w:t>
      </w:r>
    </w:p>
    <w:p w14:paraId="3437047A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Группу инвалидности имеют 11.5% участников опроса (3 чел.). Данные приведены в % от общего числа опрошенных.</w:t>
      </w:r>
    </w:p>
    <w:p w14:paraId="3DB39543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84E41A" wp14:editId="752F8A24">
            <wp:extent cx="5669280" cy="374979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74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1F61F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Три студента с инвалидностью в целом положительно оценивают условия доступности. Наибольшее число положительных оценок получили: альтернативная версия сайта, адаптированные лифты и расширенные проёмы, сопровождение сотрудниками.</w:t>
      </w:r>
    </w:p>
    <w:p w14:paraId="07FBC162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366FF7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t>5. Дистанционное взаимодействие с институтом</w:t>
      </w:r>
    </w:p>
    <w:p w14:paraId="23724CBF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Дистанционными способами взаимодействия пользовались 92.3% студентов, 7.7% — не пользовались.</w:t>
      </w:r>
    </w:p>
    <w:p w14:paraId="72F6F215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BD378F8" wp14:editId="3AD49F88">
            <wp:extent cx="5486400" cy="244203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20066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Доброжелательностью при дистанционном взаимодействии удовлетворены 46.2% студентов, скорее удовлетворены — 23.1%. Негативные оценки — 34.6%. В открытых ответах: трудности с дозвоном, долгие ответы по электронной почте, противоречивая информация у разных сотрудников.</w:t>
      </w:r>
    </w:p>
    <w:p w14:paraId="75C60AC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97E682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t xml:space="preserve">6. </w:t>
      </w:r>
      <w:proofErr w:type="spellStart"/>
      <w:r w:rsidRPr="00516AB9">
        <w:rPr>
          <w:rFonts w:ascii="Times New Roman" w:hAnsi="Times New Roman" w:cs="Times New Roman"/>
          <w:color w:val="1B474D"/>
        </w:rPr>
        <w:t>Доброжелательность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и </w:t>
      </w:r>
      <w:proofErr w:type="spellStart"/>
      <w:r w:rsidRPr="00516AB9">
        <w:rPr>
          <w:rFonts w:ascii="Times New Roman" w:hAnsi="Times New Roman" w:cs="Times New Roman"/>
          <w:color w:val="1B474D"/>
        </w:rPr>
        <w:t>вежливость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персонала</w:t>
      </w:r>
      <w:proofErr w:type="spellEnd"/>
    </w:p>
    <w:p w14:paraId="6372D2E1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F8EB4B" wp14:editId="2D674948">
            <wp:extent cx="5486400" cy="20030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0F0C8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Работники первичного контакта: удовлетворены — 53.8%, скорее удовлетворены — 26.9%, скорее не удовлетворены — 19.2%. Работники, оказывающие услугу: удовлетворены — 42.3%, скорее удовлетворены — 26.9%, негативные оценки — 30.8%.</w:t>
      </w:r>
    </w:p>
    <w:p w14:paraId="6FF209D6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704723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lastRenderedPageBreak/>
        <w:t>7. Общая удовлетворённость условиями</w:t>
      </w:r>
    </w:p>
    <w:p w14:paraId="7565CEDF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730900" wp14:editId="4E2D2788">
            <wp:extent cx="5669280" cy="26681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66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E33F3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Организационными условиями удовлетворены 46.2%, скорее удовлетворены — 23.1%, скорее не удовлетворены — 15.4%, не удовлетворены — 19.2%. Состоянием образовательных услуг в целом: удовлетворены 46.2%, не удовлетворены (суммарно) — 30.7%.</w:t>
      </w:r>
    </w:p>
    <w:p w14:paraId="64DBE3B1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BAE526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lastRenderedPageBreak/>
        <w:t>8. Готовность рекомендовать институт</w:t>
      </w:r>
    </w:p>
    <w:p w14:paraId="36F5D991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5260DA" wp14:editId="345A59DF">
            <wp:extent cx="3657600" cy="448075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48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865B2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Готовы рекомендовать институт — 38.5%, скорее готовы — 34.6% (суммарно — 73.1%). Скорее не готовы — 11.5%, не готовы — 15.4% (суммарно — 26.9%).</w:t>
      </w:r>
    </w:p>
    <w:p w14:paraId="27522539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6AC118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lastRenderedPageBreak/>
        <w:t xml:space="preserve">9. </w:t>
      </w:r>
      <w:proofErr w:type="spellStart"/>
      <w:r w:rsidRPr="00516AB9">
        <w:rPr>
          <w:rFonts w:ascii="Times New Roman" w:hAnsi="Times New Roman" w:cs="Times New Roman"/>
          <w:color w:val="1B474D"/>
        </w:rPr>
        <w:t>Ключевые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темы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открытых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ответов</w:t>
      </w:r>
      <w:proofErr w:type="spellEnd"/>
    </w:p>
    <w:p w14:paraId="3B7E70D6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368F37" wp14:editId="0D20E43C">
            <wp:extent cx="5486400" cy="25261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BA7A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Системная проблема — недоступность сотрудников по телефону (особенно бухгалтерия и отдел дистанционного обучения). Студенты указывают также на длительную проверку работ, технические ошибки в тестах на платформе СДО и несвоевременную выдачу учебных доступов.</w:t>
      </w:r>
    </w:p>
    <w:p w14:paraId="461B3FFB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724E56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t xml:space="preserve">10. </w:t>
      </w:r>
      <w:proofErr w:type="spellStart"/>
      <w:r w:rsidRPr="00516AB9">
        <w:rPr>
          <w:rFonts w:ascii="Times New Roman" w:hAnsi="Times New Roman" w:cs="Times New Roman"/>
          <w:color w:val="1B474D"/>
        </w:rPr>
        <w:t>Сводная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картина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удовлетворённости</w:t>
      </w:r>
      <w:proofErr w:type="spellEnd"/>
    </w:p>
    <w:p w14:paraId="2233FE07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E08E90" wp14:editId="5ECA1010">
            <wp:extent cx="5669280" cy="311279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11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522A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2ECE16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lastRenderedPageBreak/>
        <w:t xml:space="preserve">11. </w:t>
      </w:r>
      <w:proofErr w:type="spellStart"/>
      <w:r w:rsidRPr="00516AB9">
        <w:rPr>
          <w:rFonts w:ascii="Times New Roman" w:hAnsi="Times New Roman" w:cs="Times New Roman"/>
          <w:color w:val="1B474D"/>
        </w:rPr>
        <w:t>Сводная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таблица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ключевых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показателей</w:t>
      </w:r>
      <w:proofErr w:type="spellEnd"/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182"/>
        <w:gridCol w:w="3161"/>
        <w:gridCol w:w="3157"/>
      </w:tblGrid>
      <w:tr w:rsidR="00F633C2" w:rsidRPr="00516AB9" w14:paraId="5E8C09E4" w14:textId="77777777" w:rsidTr="00B60355">
        <w:trPr>
          <w:jc w:val="center"/>
        </w:trPr>
        <w:tc>
          <w:tcPr>
            <w:tcW w:w="3230" w:type="dxa"/>
            <w:shd w:val="clear" w:color="auto" w:fill="1B474D"/>
          </w:tcPr>
          <w:p w14:paraId="47A4FA0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Блок</w:t>
            </w:r>
            <w:proofErr w:type="spellEnd"/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 / </w:t>
            </w:r>
            <w:proofErr w:type="spellStart"/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показатель</w:t>
            </w:r>
            <w:proofErr w:type="spellEnd"/>
          </w:p>
        </w:tc>
        <w:tc>
          <w:tcPr>
            <w:tcW w:w="3230" w:type="dxa"/>
            <w:shd w:val="clear" w:color="auto" w:fill="1B474D"/>
          </w:tcPr>
          <w:p w14:paraId="1F18EF2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Удовлетворён</w:t>
            </w:r>
            <w:proofErr w:type="spellEnd"/>
          </w:p>
        </w:tc>
        <w:tc>
          <w:tcPr>
            <w:tcW w:w="3230" w:type="dxa"/>
            <w:shd w:val="clear" w:color="auto" w:fill="1B474D"/>
          </w:tcPr>
          <w:p w14:paraId="1A9B9AB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Скорее </w:t>
            </w:r>
            <w:proofErr w:type="spellStart"/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удовлетворён</w:t>
            </w:r>
            <w:proofErr w:type="spellEnd"/>
          </w:p>
        </w:tc>
      </w:tr>
      <w:tr w:rsidR="00F633C2" w:rsidRPr="00516AB9" w14:paraId="22375ABA" w14:textId="77777777" w:rsidTr="00B60355">
        <w:trPr>
          <w:jc w:val="center"/>
        </w:trPr>
        <w:tc>
          <w:tcPr>
            <w:tcW w:w="3230" w:type="dxa"/>
            <w:shd w:val="clear" w:color="auto" w:fill="E8F4F6"/>
          </w:tcPr>
          <w:p w14:paraId="3D6469B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Доступность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информации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6)</w:t>
            </w:r>
          </w:p>
        </w:tc>
        <w:tc>
          <w:tcPr>
            <w:tcW w:w="3230" w:type="dxa"/>
            <w:shd w:val="clear" w:color="auto" w:fill="E8F4F6"/>
          </w:tcPr>
          <w:p w14:paraId="50393F71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50.0%</w:t>
            </w:r>
          </w:p>
        </w:tc>
        <w:tc>
          <w:tcPr>
            <w:tcW w:w="3230" w:type="dxa"/>
            <w:shd w:val="clear" w:color="auto" w:fill="E8F4F6"/>
          </w:tcPr>
          <w:p w14:paraId="3F43AC57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23.1%</w:t>
            </w:r>
          </w:p>
        </w:tc>
      </w:tr>
      <w:tr w:rsidR="00F633C2" w:rsidRPr="00516AB9" w14:paraId="0C9B1886" w14:textId="77777777" w:rsidTr="00B60355">
        <w:trPr>
          <w:jc w:val="center"/>
        </w:trPr>
        <w:tc>
          <w:tcPr>
            <w:tcW w:w="3230" w:type="dxa"/>
          </w:tcPr>
          <w:p w14:paraId="40A0523C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Комфортность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условий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9)</w:t>
            </w:r>
          </w:p>
        </w:tc>
        <w:tc>
          <w:tcPr>
            <w:tcW w:w="3230" w:type="dxa"/>
          </w:tcPr>
          <w:p w14:paraId="617F9845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46.2%</w:t>
            </w:r>
          </w:p>
        </w:tc>
        <w:tc>
          <w:tcPr>
            <w:tcW w:w="3230" w:type="dxa"/>
          </w:tcPr>
          <w:p w14:paraId="77016C0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26.9%</w:t>
            </w:r>
          </w:p>
        </w:tc>
      </w:tr>
      <w:tr w:rsidR="00F633C2" w:rsidRPr="00516AB9" w14:paraId="292B6DDC" w14:textId="77777777" w:rsidTr="00B60355">
        <w:trPr>
          <w:jc w:val="center"/>
        </w:trPr>
        <w:tc>
          <w:tcPr>
            <w:tcW w:w="3230" w:type="dxa"/>
            <w:shd w:val="clear" w:color="auto" w:fill="E8F4F6"/>
          </w:tcPr>
          <w:p w14:paraId="35089270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График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10)</w:t>
            </w:r>
          </w:p>
        </w:tc>
        <w:tc>
          <w:tcPr>
            <w:tcW w:w="3230" w:type="dxa"/>
            <w:shd w:val="clear" w:color="auto" w:fill="E8F4F6"/>
          </w:tcPr>
          <w:p w14:paraId="24E6B0A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57.7%</w:t>
            </w:r>
          </w:p>
        </w:tc>
        <w:tc>
          <w:tcPr>
            <w:tcW w:w="3230" w:type="dxa"/>
            <w:shd w:val="clear" w:color="auto" w:fill="E8F4F6"/>
          </w:tcPr>
          <w:p w14:paraId="4113A19A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23.1%</w:t>
            </w:r>
          </w:p>
        </w:tc>
      </w:tr>
      <w:tr w:rsidR="00F633C2" w:rsidRPr="00516AB9" w14:paraId="5A1FF0ED" w14:textId="77777777" w:rsidTr="00B60355">
        <w:trPr>
          <w:jc w:val="center"/>
        </w:trPr>
        <w:tc>
          <w:tcPr>
            <w:tcW w:w="3230" w:type="dxa"/>
          </w:tcPr>
          <w:p w14:paraId="02224D65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Дист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взаимодействие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7)</w:t>
            </w:r>
          </w:p>
        </w:tc>
        <w:tc>
          <w:tcPr>
            <w:tcW w:w="3230" w:type="dxa"/>
          </w:tcPr>
          <w:p w14:paraId="78FFBF34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46.2%</w:t>
            </w:r>
          </w:p>
        </w:tc>
        <w:tc>
          <w:tcPr>
            <w:tcW w:w="3230" w:type="dxa"/>
          </w:tcPr>
          <w:p w14:paraId="065731D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23.1%</w:t>
            </w:r>
          </w:p>
        </w:tc>
      </w:tr>
      <w:tr w:rsidR="00F633C2" w:rsidRPr="00516AB9" w14:paraId="451698D4" w14:textId="77777777" w:rsidTr="00B60355">
        <w:trPr>
          <w:jc w:val="center"/>
        </w:trPr>
        <w:tc>
          <w:tcPr>
            <w:tcW w:w="3230" w:type="dxa"/>
            <w:shd w:val="clear" w:color="auto" w:fill="E8F4F6"/>
          </w:tcPr>
          <w:p w14:paraId="166A9C8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Персонал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первичного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контакта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19)</w:t>
            </w:r>
          </w:p>
        </w:tc>
        <w:tc>
          <w:tcPr>
            <w:tcW w:w="3230" w:type="dxa"/>
            <w:shd w:val="clear" w:color="auto" w:fill="E8F4F6"/>
          </w:tcPr>
          <w:p w14:paraId="130488A5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53.8%</w:t>
            </w:r>
          </w:p>
        </w:tc>
        <w:tc>
          <w:tcPr>
            <w:tcW w:w="3230" w:type="dxa"/>
            <w:shd w:val="clear" w:color="auto" w:fill="E8F4F6"/>
          </w:tcPr>
          <w:p w14:paraId="2FFAD6FE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26.9%</w:t>
            </w:r>
          </w:p>
        </w:tc>
      </w:tr>
      <w:tr w:rsidR="00F633C2" w:rsidRPr="00516AB9" w14:paraId="276B9A1A" w14:textId="77777777" w:rsidTr="00B60355">
        <w:trPr>
          <w:jc w:val="center"/>
        </w:trPr>
        <w:tc>
          <w:tcPr>
            <w:tcW w:w="3230" w:type="dxa"/>
          </w:tcPr>
          <w:p w14:paraId="0EF1CC9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Персонал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оказывающий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услугу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20)</w:t>
            </w:r>
          </w:p>
        </w:tc>
        <w:tc>
          <w:tcPr>
            <w:tcW w:w="3230" w:type="dxa"/>
          </w:tcPr>
          <w:p w14:paraId="6D4292F2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42.3%</w:t>
            </w:r>
          </w:p>
        </w:tc>
        <w:tc>
          <w:tcPr>
            <w:tcW w:w="3230" w:type="dxa"/>
          </w:tcPr>
          <w:p w14:paraId="2E0C42CE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26.9%</w:t>
            </w:r>
          </w:p>
        </w:tc>
      </w:tr>
      <w:tr w:rsidR="00F633C2" w:rsidRPr="00516AB9" w14:paraId="0A30D7E9" w14:textId="77777777" w:rsidTr="00B60355">
        <w:trPr>
          <w:jc w:val="center"/>
        </w:trPr>
        <w:tc>
          <w:tcPr>
            <w:tcW w:w="3230" w:type="dxa"/>
            <w:shd w:val="clear" w:color="auto" w:fill="E8F4F6"/>
          </w:tcPr>
          <w:p w14:paraId="660392F0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Организационные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21)</w:t>
            </w:r>
          </w:p>
        </w:tc>
        <w:tc>
          <w:tcPr>
            <w:tcW w:w="3230" w:type="dxa"/>
            <w:shd w:val="clear" w:color="auto" w:fill="E8F4F6"/>
          </w:tcPr>
          <w:p w14:paraId="3228E392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46.2%</w:t>
            </w:r>
          </w:p>
        </w:tc>
        <w:tc>
          <w:tcPr>
            <w:tcW w:w="3230" w:type="dxa"/>
            <w:shd w:val="clear" w:color="auto" w:fill="E8F4F6"/>
          </w:tcPr>
          <w:p w14:paraId="65AF1E7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23.1%</w:t>
            </w:r>
          </w:p>
        </w:tc>
      </w:tr>
      <w:tr w:rsidR="00F633C2" w:rsidRPr="00516AB9" w14:paraId="71A6AD89" w14:textId="77777777" w:rsidTr="00B60355">
        <w:trPr>
          <w:jc w:val="center"/>
        </w:trPr>
        <w:tc>
          <w:tcPr>
            <w:tcW w:w="3230" w:type="dxa"/>
          </w:tcPr>
          <w:p w14:paraId="0ED7B1DB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Общее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состояние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услуг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23)</w:t>
            </w:r>
          </w:p>
        </w:tc>
        <w:tc>
          <w:tcPr>
            <w:tcW w:w="3230" w:type="dxa"/>
          </w:tcPr>
          <w:p w14:paraId="03CED87B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46.2%</w:t>
            </w:r>
          </w:p>
        </w:tc>
        <w:tc>
          <w:tcPr>
            <w:tcW w:w="3230" w:type="dxa"/>
          </w:tcPr>
          <w:p w14:paraId="3153A9D2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23.1%</w:t>
            </w:r>
          </w:p>
        </w:tc>
      </w:tr>
    </w:tbl>
    <w:p w14:paraId="225C4F37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57C0EE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t xml:space="preserve">12. </w:t>
      </w:r>
      <w:proofErr w:type="spellStart"/>
      <w:r w:rsidRPr="00516AB9">
        <w:rPr>
          <w:rFonts w:ascii="Times New Roman" w:hAnsi="Times New Roman" w:cs="Times New Roman"/>
          <w:color w:val="1B474D"/>
        </w:rPr>
        <w:t>Выводы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и </w:t>
      </w:r>
      <w:proofErr w:type="spellStart"/>
      <w:r w:rsidRPr="00516AB9">
        <w:rPr>
          <w:rFonts w:ascii="Times New Roman" w:hAnsi="Times New Roman" w:cs="Times New Roman"/>
          <w:color w:val="1B474D"/>
        </w:rPr>
        <w:t>рекомендации</w:t>
      </w:r>
      <w:proofErr w:type="spellEnd"/>
    </w:p>
    <w:p w14:paraId="23913D09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Выводы</w:t>
      </w:r>
      <w:proofErr w:type="spellEnd"/>
    </w:p>
    <w:p w14:paraId="15DF3C31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В опросе приняли участие 26 студента. Преобладает очно-заочная форма обучения (69.2%).</w:t>
      </w:r>
    </w:p>
    <w:p w14:paraId="3014E6F0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Доступностью информации об институте в целом удовлетворены 73.1% студентов. Наибольшие затруднения — с опросной формой и электронными сервисами обратной связи.</w:t>
      </w:r>
    </w:p>
    <w:p w14:paraId="2CEC5570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Комфортностью условий удовлетворены 73.1%. Лучшие оценки — у зоны отдыха и санитарного состояния помещений.</w:t>
      </w:r>
    </w:p>
    <w:p w14:paraId="019671C6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Графиком работы института удовлетворены 80.8% опрошенных.</w:t>
      </w:r>
    </w:p>
    <w:p w14:paraId="0397625E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Доброжелательность персонала при дистанционном взаимодействии получила наибольшее число негативных оценок — 34.6%.</w:t>
      </w:r>
    </w:p>
    <w:p w14:paraId="61A574C8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Организационными условиями не удовлетворены (суммарно) 34.6% студентов.</w:t>
      </w:r>
    </w:p>
    <w:p w14:paraId="237E10AE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Готовы рекомендовать институт 73.1% студентов, не готовы — 26.9%.</w:t>
      </w:r>
    </w:p>
    <w:p w14:paraId="3652ACA4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lastRenderedPageBreak/>
        <w:t>Главные проблемы из открытых ответов: недоступность сотрудников по телефону, долгая проверка работ, технические сбои СДО, запоздалая выдача доступов к учебным материалам.</w:t>
      </w:r>
    </w:p>
    <w:p w14:paraId="1CB5E9B8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D3FF07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0808D"/>
          <w:sz w:val="28"/>
          <w:szCs w:val="28"/>
        </w:rPr>
        <w:t>Рекомендации</w:t>
      </w:r>
    </w:p>
    <w:p w14:paraId="24EB7873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Ввести обязательный контроль ответов на телефонные звонки и электронные письма; установить стандарты времени ответа для всех подразделений (в первую очередь — бухгалтерии и отдела дистанционного обучения).</w:t>
      </w:r>
    </w:p>
    <w:p w14:paraId="7878A37F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Утвердить и соблюдать нормативные сроки проверки работ студентов; обеспечить преподавателей чёткими регламентами.</w:t>
      </w:r>
    </w:p>
    <w:p w14:paraId="47254987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Провести аудит и исправление ошибок в тестах и заданиях платформы СДО; создать механизм оперативной обработки жалоб на технические дефекты.</w:t>
      </w:r>
    </w:p>
    <w:p w14:paraId="7C82ACC3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Разработать единый стандарт информирования обучающихся (особенно очно-заочной формы): сроки сессии, порядок доступа к материалам, требования к практике.</w:t>
      </w:r>
    </w:p>
    <w:p w14:paraId="3C2AA42F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Устранить ситуации «перекидывания» студентов между подразделениями — провести обучение сотрудников и расширить их компетенции.</w:t>
      </w:r>
    </w:p>
    <w:p w14:paraId="4AE975EA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 xml:space="preserve">Улучшить раздел «Обратная связь» на официальном сайте: усилить заметность форм подачи обращений и раздела </w:t>
      </w:r>
      <w:r w:rsidRPr="00516AB9">
        <w:rPr>
          <w:rFonts w:ascii="Times New Roman" w:hAnsi="Times New Roman" w:cs="Times New Roman"/>
          <w:color w:val="28251D"/>
          <w:sz w:val="28"/>
          <w:szCs w:val="28"/>
        </w:rPr>
        <w:t>FAQ</w:t>
      </w: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.</w:t>
      </w:r>
    </w:p>
    <w:p w14:paraId="795D7FD9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Провести повторный опрос по итогам реализованных корректирующих мер для оценки динамики удовлетворённости.</w:t>
      </w:r>
    </w:p>
    <w:p w14:paraId="12FEB2FA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24E022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i/>
          <w:color w:val="7A7974"/>
          <w:sz w:val="28"/>
          <w:szCs w:val="28"/>
        </w:rPr>
        <w:t>Омск, апрель 2026 г.</w:t>
      </w:r>
    </w:p>
    <w:p w14:paraId="31B764D9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sz w:val="28"/>
          <w:szCs w:val="28"/>
        </w:rPr>
        <w:br w:type="page"/>
      </w:r>
    </w:p>
    <w:p w14:paraId="63A4B345" w14:textId="77777777" w:rsidR="00F633C2" w:rsidRPr="00516AB9" w:rsidRDefault="00F633C2" w:rsidP="00F633C2">
      <w:pPr>
        <w:pStyle w:val="1"/>
        <w:spacing w:before="360" w:after="180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eastAsia="Calibri" w:hAnsi="Times New Roman" w:cs="Times New Roman"/>
          <w:color w:val="1B474D"/>
          <w:lang w:val="ru-RU"/>
        </w:rPr>
        <w:lastRenderedPageBreak/>
        <w:t>Раздел 9. Удовлетворённость в разбивке по направлениям подготовки</w:t>
      </w:r>
    </w:p>
    <w:p w14:paraId="407E411F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В данном разделе представлен сравнительный анализ удовлетворённости студентов организацией учебного процесса в разрезе трёх групп направлений подготовки: государственное и муниципальное управление (ГМУ), гражданское право и прочие направления. Сравнение позволяет выявить различия в восприятии условий образовательной деятельности среди разных учебных программ.</w:t>
      </w:r>
    </w:p>
    <w:p w14:paraId="4695210C" w14:textId="77777777" w:rsidR="00F633C2" w:rsidRPr="00516AB9" w:rsidRDefault="00F633C2" w:rsidP="00F633C2">
      <w:pPr>
        <w:pStyle w:val="2"/>
        <w:spacing w:before="280" w:after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eastAsia="Calibri" w:hAnsi="Times New Roman" w:cs="Times New Roman"/>
          <w:color w:val="20808D"/>
          <w:sz w:val="28"/>
          <w:szCs w:val="28"/>
          <w:lang w:val="ru-RU"/>
        </w:rPr>
        <w:t>9.1. Состав групп</w:t>
      </w:r>
    </w:p>
    <w:p w14:paraId="62219A94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В опросе приняли участие студенты следующих групп направлений подготовки:</w:t>
      </w:r>
    </w:p>
    <w:tbl>
      <w:tblPr>
        <w:tblW w:w="5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0"/>
        <w:gridCol w:w="1500"/>
      </w:tblGrid>
      <w:tr w:rsidR="009A63C4" w:rsidRPr="00516AB9" w14:paraId="141350FA" w14:textId="77777777" w:rsidTr="009A63C4">
        <w:trPr>
          <w:tblHeader/>
        </w:trPr>
        <w:tc>
          <w:tcPr>
            <w:tcW w:w="42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E341C12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Группа направлений</w:t>
            </w:r>
          </w:p>
        </w:tc>
        <w:tc>
          <w:tcPr>
            <w:tcW w:w="15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4163C46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Доля</w:t>
            </w:r>
          </w:p>
        </w:tc>
      </w:tr>
      <w:tr w:rsidR="009A63C4" w:rsidRPr="00516AB9" w14:paraId="08D25C53" w14:textId="77777777" w:rsidTr="009A63C4">
        <w:tc>
          <w:tcPr>
            <w:tcW w:w="42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41650ED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ГМУ (Государственное и муниципальное управление, Государственное управление и муниципальный менеджмент)</w:t>
            </w:r>
          </w:p>
        </w:tc>
        <w:tc>
          <w:tcPr>
            <w:tcW w:w="15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6175987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20808D"/>
                <w:sz w:val="28"/>
                <w:szCs w:val="28"/>
              </w:rPr>
              <w:t>34,6%</w:t>
            </w:r>
          </w:p>
        </w:tc>
      </w:tr>
      <w:tr w:rsidR="009A63C4" w:rsidRPr="00516AB9" w14:paraId="2A3E686B" w14:textId="77777777" w:rsidTr="009A63C4">
        <w:tc>
          <w:tcPr>
            <w:tcW w:w="42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92C8C2F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Гражданское право</w:t>
            </w:r>
          </w:p>
        </w:tc>
        <w:tc>
          <w:tcPr>
            <w:tcW w:w="15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D532850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20808D"/>
                <w:sz w:val="28"/>
                <w:szCs w:val="28"/>
              </w:rPr>
              <w:t>15,4%</w:t>
            </w:r>
          </w:p>
        </w:tc>
      </w:tr>
      <w:tr w:rsidR="009A63C4" w:rsidRPr="00516AB9" w14:paraId="7E32328D" w14:textId="77777777" w:rsidTr="009A63C4">
        <w:tc>
          <w:tcPr>
            <w:tcW w:w="42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738A551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Остальные направления (8 профилей)</w:t>
            </w:r>
          </w:p>
        </w:tc>
        <w:tc>
          <w:tcPr>
            <w:tcW w:w="15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F572BA4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20808D"/>
                <w:sz w:val="28"/>
                <w:szCs w:val="28"/>
              </w:rPr>
              <w:t>50,0%</w:t>
            </w:r>
          </w:p>
        </w:tc>
      </w:tr>
    </w:tbl>
    <w:p w14:paraId="66CA54B7" w14:textId="77777777" w:rsidR="00F633C2" w:rsidRPr="00516AB9" w:rsidRDefault="00F633C2" w:rsidP="00F633C2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14:paraId="7B20D64E" w14:textId="77777777" w:rsidR="00F633C2" w:rsidRPr="00516AB9" w:rsidRDefault="00F633C2" w:rsidP="00F633C2">
      <w:pPr>
        <w:pStyle w:val="2"/>
        <w:spacing w:before="280" w:after="12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9.2.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Сравнительный</w:t>
      </w:r>
      <w:proofErr w:type="spellEnd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анализ</w:t>
      </w:r>
      <w:proofErr w:type="spellEnd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 по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ключевым</w:t>
      </w:r>
      <w:proofErr w:type="spellEnd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параметрам</w:t>
      </w:r>
      <w:proofErr w:type="spellEnd"/>
    </w:p>
    <w:p w14:paraId="35CA68C5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Диаграмма ниже отражает долю положительных ответов («да, удовлетворён» и «скорее удовлетворён») по каждому блоку вопросов в разрезе трёх групп. Значения приведены в процентах от числа студентов соответствующего направления.</w:t>
      </w:r>
    </w:p>
    <w:p w14:paraId="31221FEA" w14:textId="77777777" w:rsidR="00F633C2" w:rsidRPr="00516AB9" w:rsidRDefault="00F633C2" w:rsidP="00F633C2">
      <w:pPr>
        <w:spacing w:before="120" w:after="6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D72948" wp14:editId="41575F1C">
            <wp:extent cx="5334000" cy="2952750"/>
            <wp:effectExtent l="0" t="0" r="0" b="0"/>
            <wp:docPr id="1155491642" name="chart_group_comparison.png" descr="Рис. 1. Сравнение удовлетворённости по направлениям подготовки (% положительных ответов)" title="Рис. 1. Сравнение удовлетворённости по направлениям подготовки (% положительных ответов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F1F6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i/>
          <w:iCs/>
          <w:color w:val="5A7278"/>
          <w:sz w:val="28"/>
          <w:szCs w:val="28"/>
        </w:rPr>
        <w:t>Рис. 1. Сравнение удовлетворённости по направлениям подготовки (% положительных ответов)</w:t>
      </w:r>
    </w:p>
    <w:p w14:paraId="7BD3E876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Радарная диаграмма ниже позволяет визуально оценить профиль удовлетворённости каждой группы по шести ключевым параметрам.</w:t>
      </w:r>
    </w:p>
    <w:p w14:paraId="0B89EC5C" w14:textId="77777777" w:rsidR="00F633C2" w:rsidRPr="00516AB9" w:rsidRDefault="00F633C2" w:rsidP="00F633C2">
      <w:pPr>
        <w:spacing w:before="120" w:after="6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E8989A" wp14:editId="29332736">
            <wp:extent cx="3810000" cy="3714750"/>
            <wp:effectExtent l="0" t="0" r="0" b="0"/>
            <wp:docPr id="1512777235" name="chart_radar_groups.png" descr="Рис. 2. Профиль удовлетворённости по ключевым параметрам" title="Рис. 2. Профиль удовлетворённости по ключевым парамет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D31B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i/>
          <w:iCs/>
          <w:color w:val="5A7278"/>
          <w:sz w:val="28"/>
          <w:szCs w:val="28"/>
        </w:rPr>
        <w:t>Рис. 2. Профиль удовлетворённости по ключевым параметрам</w:t>
      </w:r>
    </w:p>
    <w:p w14:paraId="57A8ADA4" w14:textId="77777777" w:rsidR="00F633C2" w:rsidRPr="00516AB9" w:rsidRDefault="00F633C2" w:rsidP="00F633C2">
      <w:pPr>
        <w:pStyle w:val="2"/>
        <w:spacing w:before="280" w:after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eastAsia="Calibri" w:hAnsi="Times New Roman" w:cs="Times New Roman"/>
          <w:color w:val="20808D"/>
          <w:sz w:val="28"/>
          <w:szCs w:val="28"/>
          <w:lang w:val="ru-RU"/>
        </w:rPr>
        <w:lastRenderedPageBreak/>
        <w:t>9.3. Сводная таблица результатов</w:t>
      </w:r>
    </w:p>
    <w:p w14:paraId="7D1A51F4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В таблице представлены процентные значения положительных оценок по всем блокам вопросов. Цветовая кодировка: зелёный — ≥80%, оранжевый — 60–79%, красный — &lt;60%.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5"/>
        <w:gridCol w:w="1689"/>
        <w:gridCol w:w="1870"/>
        <w:gridCol w:w="1922"/>
      </w:tblGrid>
      <w:tr w:rsidR="00F633C2" w:rsidRPr="00516AB9" w14:paraId="7DED436A" w14:textId="77777777" w:rsidTr="00B60355">
        <w:trPr>
          <w:tblHeader/>
        </w:trPr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5C6F4A0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Параметр удовлетворённости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CA3890C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ГМУ (n=9)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8CD72F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Гражданское право (n=4)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CC147D3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Остальные (n=13)</w:t>
            </w:r>
          </w:p>
        </w:tc>
      </w:tr>
      <w:tr w:rsidR="00F633C2" w:rsidRPr="00516AB9" w14:paraId="481E05F3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2402A94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Открытость информации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2AE26F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78%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E1A8CBB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100%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B95AD1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62%</w:t>
            </w:r>
          </w:p>
        </w:tc>
      </w:tr>
      <w:tr w:rsidR="00F633C2" w:rsidRPr="00516AB9" w14:paraId="4FFE2075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2D716C4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Комфортность условий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0912EB9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CBA6105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75%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528F9A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62%</w:t>
            </w:r>
          </w:p>
        </w:tc>
      </w:tr>
      <w:tr w:rsidR="00F633C2" w:rsidRPr="00516AB9" w14:paraId="18278C99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330097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График работы института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4E7CF5B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C0AA79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100%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FCBCA9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69%</w:t>
            </w:r>
          </w:p>
        </w:tc>
      </w:tr>
      <w:tr w:rsidR="00F633C2" w:rsidRPr="00516AB9" w14:paraId="604C9AF5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049949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Дистанционное взаимодействие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1D61183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78%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C6AB251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100%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447C490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A84B2F"/>
                <w:sz w:val="28"/>
                <w:szCs w:val="28"/>
              </w:rPr>
              <w:t>54%</w:t>
            </w:r>
          </w:p>
        </w:tc>
      </w:tr>
      <w:tr w:rsidR="00F633C2" w:rsidRPr="00516AB9" w14:paraId="30D209FC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5E19041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Доброжелательность (первичный контакт)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967F2F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3E1CAF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100%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8347DF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69%</w:t>
            </w:r>
          </w:p>
        </w:tc>
      </w:tr>
      <w:tr w:rsidR="00F633C2" w:rsidRPr="00516AB9" w14:paraId="59F31E2A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4D5CF6F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Доброжелательность (оказание услуги)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983825C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52CBD44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75%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065BC3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A84B2F"/>
                <w:sz w:val="28"/>
                <w:szCs w:val="28"/>
              </w:rPr>
              <w:t>54%</w:t>
            </w:r>
          </w:p>
        </w:tc>
      </w:tr>
      <w:tr w:rsidR="00F633C2" w:rsidRPr="00516AB9" w14:paraId="217CB9AC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ED91F54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Организационные условия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A93BB39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0824E27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75%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1FCFCD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A84B2F"/>
                <w:sz w:val="28"/>
                <w:szCs w:val="28"/>
              </w:rPr>
              <w:t>54%</w:t>
            </w:r>
          </w:p>
        </w:tc>
      </w:tr>
      <w:tr w:rsidR="00F633C2" w:rsidRPr="00516AB9" w14:paraId="5200996D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8EBAEBC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Общее состояние образовательных услуг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49B456E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3C34C5A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75%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654E5C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A84B2F"/>
                <w:sz w:val="28"/>
                <w:szCs w:val="28"/>
              </w:rPr>
              <w:t>54%</w:t>
            </w:r>
          </w:p>
        </w:tc>
      </w:tr>
      <w:tr w:rsidR="00F633C2" w:rsidRPr="00516AB9" w14:paraId="2D204126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C0ACE0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Готовность рекомендовать институт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58EBDCE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100%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0146AF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75%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A586B7B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A84B2F"/>
                <w:sz w:val="28"/>
                <w:szCs w:val="28"/>
              </w:rPr>
              <w:t>54%</w:t>
            </w:r>
          </w:p>
        </w:tc>
      </w:tr>
    </w:tbl>
    <w:p w14:paraId="49702532" w14:textId="77777777" w:rsidR="00F633C2" w:rsidRPr="00516AB9" w:rsidRDefault="00F633C2" w:rsidP="00F633C2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14:paraId="6E4FD98F" w14:textId="77777777" w:rsidR="00F633C2" w:rsidRPr="00516AB9" w:rsidRDefault="00F633C2" w:rsidP="00F633C2">
      <w:pPr>
        <w:pStyle w:val="2"/>
        <w:spacing w:before="280" w:after="12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9.4.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Ключевые</w:t>
      </w:r>
      <w:proofErr w:type="spellEnd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выводы</w:t>
      </w:r>
      <w:proofErr w:type="spellEnd"/>
    </w:p>
    <w:p w14:paraId="085A4075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По результатам сравнительного анализа можно выделить следующие закономерности:</w:t>
      </w:r>
    </w:p>
    <w:p w14:paraId="09678593" w14:textId="77777777" w:rsidR="00F633C2" w:rsidRPr="00516AB9" w:rsidRDefault="00F633C2" w:rsidP="00F633C2">
      <w:pPr>
        <w:pStyle w:val="a4"/>
        <w:numPr>
          <w:ilvl w:val="0"/>
          <w:numId w:val="3"/>
        </w:numPr>
        <w:spacing w:before="60" w:after="8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b/>
          <w:bCs/>
          <w:color w:val="1A2B2E"/>
          <w:sz w:val="28"/>
          <w:szCs w:val="28"/>
          <w:lang w:val="ru-RU"/>
        </w:rPr>
        <w:t xml:space="preserve">Студенты группы «Гражданское право»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 xml:space="preserve">демонстрируют наиболее высокие оценки по информационной открытости, графику работы и дистанционному взаимодействию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(100,0%),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что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может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свидетельствовать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об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активном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использовании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информационных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каналов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.</w:t>
      </w:r>
    </w:p>
    <w:p w14:paraId="637C0D4D" w14:textId="77777777" w:rsidR="00F633C2" w:rsidRPr="00516AB9" w:rsidRDefault="00F633C2" w:rsidP="00F633C2">
      <w:pPr>
        <w:pStyle w:val="a4"/>
        <w:numPr>
          <w:ilvl w:val="0"/>
          <w:numId w:val="3"/>
        </w:numPr>
        <w:spacing w:before="60" w:after="8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b/>
          <w:bCs/>
          <w:color w:val="1A2B2E"/>
          <w:sz w:val="28"/>
          <w:szCs w:val="28"/>
          <w:lang w:val="ru-RU"/>
        </w:rPr>
        <w:lastRenderedPageBreak/>
        <w:t xml:space="preserve">Студенты направлений ГМУ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 xml:space="preserve">показывают стабильно высокие результаты по комфортности условий (88,9%), доброжелательности персонала (88,9%) и организационным условиям (88,9%).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В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целом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группа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демонстрирует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высокий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и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равномерный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уровень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удовлетворённости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.</w:t>
      </w:r>
    </w:p>
    <w:p w14:paraId="291725F4" w14:textId="77777777" w:rsidR="00F633C2" w:rsidRPr="00516AB9" w:rsidRDefault="00F633C2" w:rsidP="00F633C2">
      <w:pPr>
        <w:pStyle w:val="a4"/>
        <w:numPr>
          <w:ilvl w:val="0"/>
          <w:numId w:val="3"/>
        </w:numPr>
        <w:spacing w:before="60"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eastAsia="Calibri" w:hAnsi="Times New Roman" w:cs="Times New Roman"/>
          <w:b/>
          <w:bCs/>
          <w:color w:val="1A2B2E"/>
          <w:sz w:val="28"/>
          <w:szCs w:val="28"/>
          <w:lang w:val="ru-RU"/>
        </w:rPr>
        <w:t xml:space="preserve">Студенты прочих направлений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>в ряде параметров значимо уступают остальным группам: дистанционное взаимодействие (53,8%), доброжелательность при оказании услуги (53,8%) и организационные условия (53,8%). Это указывает на необходимость дополнительного внимания к качеству обслуживания и организационным процессам для данной категории студентов.</w:t>
      </w:r>
    </w:p>
    <w:p w14:paraId="7817D974" w14:textId="77777777" w:rsidR="00F633C2" w:rsidRPr="00516AB9" w:rsidRDefault="00F633C2" w:rsidP="00F633C2">
      <w:pPr>
        <w:pStyle w:val="a4"/>
        <w:numPr>
          <w:ilvl w:val="0"/>
          <w:numId w:val="3"/>
        </w:numPr>
        <w:spacing w:before="60"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eastAsia="Calibri" w:hAnsi="Times New Roman" w:cs="Times New Roman"/>
          <w:b/>
          <w:bCs/>
          <w:color w:val="1A2B2E"/>
          <w:sz w:val="28"/>
          <w:szCs w:val="28"/>
          <w:lang w:val="ru-RU"/>
        </w:rPr>
        <w:t xml:space="preserve">Наибольший разрыв между группами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 xml:space="preserve">наблюдается по параметрам дистанционного взаимодействия и организационных условий, где разница между лучшими и худшими показателями достигает 46,2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>п.п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>.</w:t>
      </w:r>
    </w:p>
    <w:p w14:paraId="45FE32D9" w14:textId="77777777" w:rsidR="00F633C2" w:rsidRPr="00516AB9" w:rsidRDefault="00F633C2" w:rsidP="00F633C2">
      <w:pPr>
        <w:spacing w:after="100"/>
        <w:jc w:val="both"/>
        <w:rPr>
          <w:rFonts w:ascii="Times New Roman" w:hAnsi="Times New Roman" w:cs="Times New Roman"/>
          <w:sz w:val="28"/>
          <w:szCs w:val="28"/>
        </w:rPr>
      </w:pPr>
    </w:p>
    <w:p w14:paraId="43F1847A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5A7278"/>
          <w:sz w:val="28"/>
          <w:szCs w:val="28"/>
        </w:rPr>
        <w:t>Рекомендуется провести дополнительное качественное исследование (фокус-группы) среди студентов прочих направлений с целью выявления конкретных причин более низкой удовлетворённости организационными аспектами образовательного процесса.</w:t>
      </w:r>
    </w:p>
    <w:p w14:paraId="3AEB77F4" w14:textId="77777777" w:rsidR="00B81B8F" w:rsidRDefault="00B81B8F"/>
    <w:sectPr w:rsidR="00B81B8F">
      <w:pgSz w:w="12240" w:h="15840"/>
      <w:pgMar w:top="1365" w:right="1365" w:bottom="1365" w:left="136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20C95B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E6C25FF"/>
    <w:multiLevelType w:val="hybridMultilevel"/>
    <w:tmpl w:val="AC3C216C"/>
    <w:lvl w:ilvl="0" w:tplc="FFFFFFFF">
      <w:start w:val="1"/>
      <w:numFmt w:val="bullet"/>
      <w:lvlText w:val=""/>
      <w:lvlJc w:val="left"/>
      <w:pPr>
        <w:tabs>
          <w:tab w:val="num" w:pos="900"/>
        </w:tabs>
        <w:ind w:left="54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522F11DF"/>
    <w:multiLevelType w:val="hybridMultilevel"/>
    <w:tmpl w:val="989CFD12"/>
    <w:lvl w:ilvl="0" w:tplc="FFFFFFFF">
      <w:start w:val="1"/>
      <w:numFmt w:val="bullet"/>
      <w:lvlText w:val=""/>
      <w:lvlJc w:val="left"/>
      <w:pPr>
        <w:tabs>
          <w:tab w:val="num" w:pos="900"/>
        </w:tabs>
        <w:ind w:left="54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B8F"/>
    <w:rsid w:val="004A3E17"/>
    <w:rsid w:val="009A63C4"/>
    <w:rsid w:val="00B81B8F"/>
    <w:rsid w:val="00BE4ED6"/>
    <w:rsid w:val="00DF02CA"/>
    <w:rsid w:val="00F6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764C9"/>
  <w15:docId w15:val="{8EDCDED5-BC5B-42EA-B6A9-B9FC7FC4E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Theme="minorHAnsi" w:cstheme="minorBidi"/>
        <w:sz w:val="21"/>
        <w:szCs w:val="22"/>
        <w:lang w:val="ru-RU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F633C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paragraph" w:styleId="2">
    <w:name w:val="heading 2"/>
    <w:basedOn w:val="a0"/>
    <w:next w:val="a0"/>
    <w:link w:val="20"/>
    <w:uiPriority w:val="9"/>
    <w:unhideWhenUsed/>
    <w:qFormat/>
    <w:rsid w:val="00F633C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VerbatimChar">
    <w:name w:val="Verbatim Char"/>
    <w:rPr>
      <w:rFonts w:ascii="Consolas" w:hAnsi="Consolas"/>
      <w:sz w:val="22"/>
    </w:rPr>
  </w:style>
  <w:style w:type="table" w:customStyle="1" w:styleId="NormalGrid">
    <w:name w:val="Normal Grid"/>
    <w:basedOn w:val="a2"/>
    <w:uiPriority w:val="39"/>
    <w:pPr>
      <w:spacing w:after="0" w:line="240" w:lineRule="auto"/>
    </w:pPr>
    <w:tblPr>
      <w:tblCellMar>
        <w:top w:w="80" w:type="dxa"/>
        <w:left w:w="160" w:type="dxa"/>
        <w:bottom w:w="80" w:type="dxa"/>
        <w:right w:w="160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F633C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1"/>
    <w:link w:val="2"/>
    <w:uiPriority w:val="9"/>
    <w:rsid w:val="00F633C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paragraph" w:styleId="a4">
    <w:name w:val="List Paragraph"/>
    <w:basedOn w:val="a0"/>
    <w:uiPriority w:val="34"/>
    <w:qFormat/>
    <w:rsid w:val="00F633C2"/>
    <w:pPr>
      <w:spacing w:after="200" w:line="276" w:lineRule="auto"/>
      <w:ind w:left="720"/>
      <w:contextualSpacing/>
    </w:pPr>
    <w:rPr>
      <w:rFonts w:ascii="Calibri" w:eastAsiaTheme="minorEastAsia" w:hAnsi="Calibri"/>
      <w:sz w:val="22"/>
      <w:lang w:val="en-US"/>
    </w:rPr>
  </w:style>
  <w:style w:type="paragraph" w:styleId="a">
    <w:name w:val="List Bullet"/>
    <w:basedOn w:val="a0"/>
    <w:uiPriority w:val="99"/>
    <w:unhideWhenUsed/>
    <w:rsid w:val="00F633C2"/>
    <w:pPr>
      <w:numPr>
        <w:numId w:val="3"/>
      </w:numPr>
      <w:spacing w:after="200" w:line="276" w:lineRule="auto"/>
      <w:contextualSpacing/>
    </w:pPr>
    <w:rPr>
      <w:rFonts w:ascii="Calibri" w:eastAsiaTheme="minorEastAsia" w:hAnsi="Calibri"/>
      <w:sz w:val="22"/>
      <w:lang w:val="en-US"/>
    </w:rPr>
  </w:style>
  <w:style w:type="table" w:styleId="a5">
    <w:name w:val="Table Grid"/>
    <w:basedOn w:val="a2"/>
    <w:uiPriority w:val="59"/>
    <w:rsid w:val="00F633C2"/>
    <w:pPr>
      <w:spacing w:after="0" w:line="240" w:lineRule="auto"/>
    </w:pPr>
    <w:rPr>
      <w:rFonts w:asciiTheme="minorHAnsi" w:eastAsiaTheme="minorEastAsia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1471</Words>
  <Characters>8386</Characters>
  <Application>Microsoft Office Word</Application>
  <DocSecurity>0</DocSecurity>
  <Lines>69</Lines>
  <Paragraphs>19</Paragraphs>
  <ScaleCrop>false</ScaleCrop>
  <Company/>
  <LinksUpToDate>false</LinksUpToDate>
  <CharactersWithSpaces>9838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html-to-docx</dc:creator>
  <cp:keywords>html-to-docx</cp:keywords>
  <dc:description/>
  <cp:lastModifiedBy>Зеленская Нина Ивановна</cp:lastModifiedBy>
  <cp:revision>6</cp:revision>
  <dcterms:created xsi:type="dcterms:W3CDTF">2026-04-21T09:24:00Z</dcterms:created>
  <dcterms:modified xsi:type="dcterms:W3CDTF">2026-04-21T10:22:00Z</dcterms:modified>
</cp:coreProperties>
</file>